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5822C7" w:rsidRPr="002662E2" w:rsidTr="005822C7">
        <w:tc>
          <w:tcPr>
            <w:tcW w:w="4714" w:type="dxa"/>
          </w:tcPr>
          <w:p w:rsidR="005822C7" w:rsidRPr="002662E2" w:rsidRDefault="005822C7"/>
        </w:tc>
        <w:tc>
          <w:tcPr>
            <w:tcW w:w="4715" w:type="dxa"/>
          </w:tcPr>
          <w:p w:rsidR="005822C7" w:rsidRPr="002662E2" w:rsidRDefault="005822C7" w:rsidP="00897F20">
            <w:pPr>
              <w:jc w:val="center"/>
            </w:pPr>
            <w:r>
              <w:t>CZSO</w:t>
            </w:r>
          </w:p>
        </w:tc>
        <w:tc>
          <w:tcPr>
            <w:tcW w:w="4715" w:type="dxa"/>
          </w:tcPr>
          <w:p w:rsidR="005822C7" w:rsidRPr="002662E2" w:rsidRDefault="005822C7" w:rsidP="00897F20">
            <w:pPr>
              <w:jc w:val="center"/>
            </w:pPr>
            <w:r>
              <w:t>CNB</w:t>
            </w:r>
          </w:p>
        </w:tc>
      </w:tr>
      <w:tr w:rsidR="005822C7" w:rsidRPr="002662E2" w:rsidTr="005822C7">
        <w:tc>
          <w:tcPr>
            <w:tcW w:w="4714" w:type="dxa"/>
          </w:tcPr>
          <w:p w:rsidR="005822C7" w:rsidRPr="002662E2" w:rsidRDefault="005822C7">
            <w:r>
              <w:t xml:space="preserve">Methodological </w:t>
            </w:r>
            <w:bookmarkStart w:id="0" w:name="_GoBack"/>
            <w:bookmarkEnd w:id="0"/>
            <w:r>
              <w:t>manuals</w:t>
            </w:r>
          </w:p>
        </w:tc>
        <w:tc>
          <w:tcPr>
            <w:tcW w:w="4715" w:type="dxa"/>
          </w:tcPr>
          <w:p w:rsidR="005822C7" w:rsidRPr="002662E2" w:rsidRDefault="005822C7">
            <w:r>
              <w:t>ESA 2010, Article 4.64</w:t>
            </w:r>
          </w:p>
        </w:tc>
        <w:tc>
          <w:tcPr>
            <w:tcW w:w="4715" w:type="dxa"/>
          </w:tcPr>
          <w:p w:rsidR="005822C7" w:rsidRPr="002662E2" w:rsidRDefault="00ED61A1" w:rsidP="002662E2">
            <w:r>
              <w:t>Detailed definitions of reinvested earni</w:t>
            </w:r>
            <w:r w:rsidR="000958E2">
              <w:t>ngs are given in Articles 11.40–</w:t>
            </w:r>
            <w:r>
              <w:t xml:space="preserve">11.46 of the balance of payments manual (BPM6) and in ECB regulations. </w:t>
            </w:r>
          </w:p>
        </w:tc>
      </w:tr>
      <w:tr w:rsidR="005822C7" w:rsidRPr="002662E2" w:rsidTr="005822C7">
        <w:tc>
          <w:tcPr>
            <w:tcW w:w="4714" w:type="dxa"/>
          </w:tcPr>
          <w:p w:rsidR="005822C7" w:rsidRPr="002662E2" w:rsidRDefault="005822C7" w:rsidP="000C643F">
            <w:r>
              <w:t>Data for the estimate/calculation</w:t>
            </w:r>
          </w:p>
        </w:tc>
        <w:tc>
          <w:tcPr>
            <w:tcW w:w="4715" w:type="dxa"/>
          </w:tcPr>
          <w:p w:rsidR="005822C7" w:rsidRPr="002662E2" w:rsidRDefault="005822C7" w:rsidP="005822C7">
            <w:r>
              <w:t>Annual report on the s</w:t>
            </w:r>
            <w:r w:rsidR="00B2530B">
              <w:t>tock of direct investment (CNB)</w:t>
            </w:r>
          </w:p>
          <w:p w:rsidR="005822C7" w:rsidRPr="002662E2" w:rsidRDefault="005822C7" w:rsidP="005822C7">
            <w:r>
              <w:t>Annual report for non-financial corporations P5-01</w:t>
            </w:r>
          </w:p>
          <w:p w:rsidR="005822C7" w:rsidRPr="002662E2" w:rsidRDefault="005822C7" w:rsidP="005822C7">
            <w:r>
              <w:t>Annual administrative data for financial institutions (CNB)</w:t>
            </w:r>
          </w:p>
        </w:tc>
        <w:tc>
          <w:tcPr>
            <w:tcW w:w="4715" w:type="dxa"/>
          </w:tcPr>
          <w:p w:rsidR="00ED61A1" w:rsidRPr="002662E2" w:rsidRDefault="005822C7">
            <w:r>
              <w:t xml:space="preserve">Annual report on the stock of direct investment (CNB) </w:t>
            </w:r>
          </w:p>
          <w:p w:rsidR="005822C7" w:rsidRPr="002662E2" w:rsidRDefault="00ED61A1">
            <w:r>
              <w:t xml:space="preserve">Annual administrative data for financial institutions (CNB). The sample of entities is updated and shared with the CZSO every year. Currently 4,300 </w:t>
            </w:r>
            <w:r w:rsidR="007927FA">
              <w:t>macroeconomically significant entities</w:t>
            </w:r>
            <w:r w:rsidR="007927FA">
              <w:t xml:space="preserve"> </w:t>
            </w:r>
            <w:r>
              <w:t>(5,000 including subsidiaries). The CNB does not perform grossing up.</w:t>
            </w:r>
          </w:p>
          <w:p w:rsidR="00ED61A1" w:rsidRPr="002662E2" w:rsidRDefault="00ED61A1"/>
        </w:tc>
      </w:tr>
      <w:tr w:rsidR="005822C7" w:rsidRPr="002662E2" w:rsidTr="005822C7">
        <w:tc>
          <w:tcPr>
            <w:tcW w:w="4714" w:type="dxa"/>
          </w:tcPr>
          <w:p w:rsidR="005822C7" w:rsidRPr="002662E2" w:rsidRDefault="005822C7">
            <w:r>
              <w:t>Estimation/calculation procedures</w:t>
            </w:r>
          </w:p>
        </w:tc>
        <w:tc>
          <w:tcPr>
            <w:tcW w:w="4715" w:type="dxa"/>
          </w:tcPr>
          <w:p w:rsidR="005822C7" w:rsidRPr="002662E2" w:rsidRDefault="005822C7" w:rsidP="000958E2">
            <w:r>
              <w:t xml:space="preserve">Estimates of reinvested earnings from foreign direct investment are based on a combination of information from various statistical reports. Reinvested earnings consist of the direct investor’s share (in proportion to direct equity participation) </w:t>
            </w:r>
            <w:r w:rsidR="000958E2">
              <w:t>in</w:t>
            </w:r>
            <w:r>
              <w:t xml:space="preserve"> net disposable income in the national accounts. </w:t>
            </w:r>
          </w:p>
        </w:tc>
        <w:tc>
          <w:tcPr>
            <w:tcW w:w="4715" w:type="dxa"/>
          </w:tcPr>
          <w:p w:rsidR="005822C7" w:rsidRPr="002662E2" w:rsidRDefault="00ED61A1" w:rsidP="007927FA">
            <w:r>
              <w:rPr>
                <w:b/>
              </w:rPr>
              <w:t>Reinvested earnings</w:t>
            </w:r>
            <w:r>
              <w:t xml:space="preserve"> consist of the direct investor’s share (in proportion to direct equity participation) of earnings not distributed as dividends. </w:t>
            </w:r>
            <w:r w:rsidR="00B2530B">
              <w:t>D</w:t>
            </w:r>
            <w:r>
              <w:t xml:space="preserve">ata </w:t>
            </w:r>
            <w:r w:rsidR="006F2B1A">
              <w:t xml:space="preserve">collected </w:t>
            </w:r>
            <w:r>
              <w:t xml:space="preserve">at the micro-level must </w:t>
            </w:r>
            <w:r w:rsidR="007927FA">
              <w:t>on</w:t>
            </w:r>
            <w:r>
              <w:t xml:space="preserve"> aggregate tie with the overall indicator in </w:t>
            </w:r>
            <w:r w:rsidR="007927FA">
              <w:t xml:space="preserve">the </w:t>
            </w:r>
            <w:r>
              <w:t>macroeconom</w:t>
            </w:r>
            <w:r w:rsidR="00B2530B">
              <w:t>i</w:t>
            </w:r>
            <w:r>
              <w:t>c statistics of</w:t>
            </w:r>
            <w:r w:rsidR="007927FA">
              <w:t xml:space="preserve"> the</w:t>
            </w:r>
            <w:r>
              <w:t xml:space="preserve"> external statistics. The data are also published in a detailed country and sectoral breakdown. </w:t>
            </w:r>
          </w:p>
        </w:tc>
      </w:tr>
      <w:tr w:rsidR="005822C7" w:rsidRPr="002662E2" w:rsidTr="005822C7">
        <w:tc>
          <w:tcPr>
            <w:tcW w:w="4714" w:type="dxa"/>
          </w:tcPr>
          <w:p w:rsidR="005822C7" w:rsidRPr="002662E2" w:rsidRDefault="00C4565D" w:rsidP="00AD3152">
            <w:r>
              <w:t xml:space="preserve">Reasons for the methods </w:t>
            </w:r>
            <w:r w:rsidR="00AD3152">
              <w:t>used</w:t>
            </w:r>
          </w:p>
        </w:tc>
        <w:tc>
          <w:tcPr>
            <w:tcW w:w="4715" w:type="dxa"/>
          </w:tcPr>
          <w:p w:rsidR="000958E2" w:rsidRDefault="00284431" w:rsidP="000958E2">
            <w:r>
              <w:t xml:space="preserve">CZSO estimates are consistent with the estimates of other indicators such as GDP. To ensure compliance of GDP estimates with the ESA 2010 methodology, numerous </w:t>
            </w:r>
            <w:r w:rsidR="00AB547B">
              <w:t>a</w:t>
            </w:r>
            <w:r>
              <w:t>djustments/</w:t>
            </w:r>
          </w:p>
          <w:p w:rsidR="005822C7" w:rsidRPr="002662E2" w:rsidRDefault="00284431" w:rsidP="000958E2">
            <w:r>
              <w:t xml:space="preserve">imputations are made in the national accounts. In the case of the impact of these adjustments on net disposable income, the part </w:t>
            </w:r>
            <w:r w:rsidR="000958E2">
              <w:t>pertaining</w:t>
            </w:r>
            <w:r>
              <w:t xml:space="preserve"> to FDI owners is included in the estimates of reinvested earnings. </w:t>
            </w:r>
            <w:r>
              <w:rPr>
                <w:b/>
              </w:rPr>
              <w:t xml:space="preserve">The objective of these estimates is </w:t>
            </w:r>
            <w:r w:rsidR="000958E2">
              <w:rPr>
                <w:b/>
              </w:rPr>
              <w:t>to</w:t>
            </w:r>
            <w:r>
              <w:rPr>
                <w:b/>
              </w:rPr>
              <w:t xml:space="preserve"> correct</w:t>
            </w:r>
            <w:r w:rsidR="000958E2">
              <w:rPr>
                <w:b/>
              </w:rPr>
              <w:t>ly</w:t>
            </w:r>
            <w:r>
              <w:rPr>
                <w:b/>
              </w:rPr>
              <w:t xml:space="preserve"> calculat</w:t>
            </w:r>
            <w:r w:rsidR="000958E2">
              <w:rPr>
                <w:b/>
              </w:rPr>
              <w:t>e</w:t>
            </w:r>
            <w:r>
              <w:rPr>
                <w:b/>
              </w:rPr>
              <w:t xml:space="preserve"> gross national income, which should </w:t>
            </w:r>
            <w:r w:rsidR="000958E2">
              <w:rPr>
                <w:b/>
              </w:rPr>
              <w:t xml:space="preserve">only </w:t>
            </w:r>
            <w:r>
              <w:rPr>
                <w:b/>
              </w:rPr>
              <w:t xml:space="preserve">represent income </w:t>
            </w:r>
            <w:r w:rsidR="000958E2" w:rsidRPr="000958E2">
              <w:rPr>
                <w:b/>
              </w:rPr>
              <w:t>pertaining</w:t>
            </w:r>
            <w:r w:rsidR="000958E2">
              <w:t xml:space="preserve"> </w:t>
            </w:r>
            <w:r>
              <w:rPr>
                <w:b/>
              </w:rPr>
              <w:t>to residents in the Czech Republic.</w:t>
            </w:r>
          </w:p>
        </w:tc>
        <w:tc>
          <w:tcPr>
            <w:tcW w:w="4715" w:type="dxa"/>
          </w:tcPr>
          <w:p w:rsidR="00140B48" w:rsidRPr="002662E2" w:rsidRDefault="00140B48" w:rsidP="00140B48">
            <w:r>
              <w:t xml:space="preserve">CNB data are based on specific statistical information which the CNB can </w:t>
            </w:r>
            <w:r w:rsidR="007927FA">
              <w:t>substantiate</w:t>
            </w:r>
            <w:r>
              <w:t xml:space="preserve"> from companies’ accounting data. </w:t>
            </w:r>
            <w:r w:rsidR="00B2530B">
              <w:t>D</w:t>
            </w:r>
            <w:r>
              <w:t xml:space="preserve">ata </w:t>
            </w:r>
            <w:r w:rsidR="00B2530B">
              <w:t xml:space="preserve">collected </w:t>
            </w:r>
            <w:r>
              <w:t xml:space="preserve">at the micro-level must </w:t>
            </w:r>
            <w:r w:rsidR="007927FA">
              <w:t>on</w:t>
            </w:r>
            <w:r>
              <w:t xml:space="preserve"> aggregate ti</w:t>
            </w:r>
            <w:r w:rsidR="00B2530B">
              <w:t xml:space="preserve">e with the overall indicator in </w:t>
            </w:r>
            <w:r w:rsidR="007927FA">
              <w:t xml:space="preserve">the </w:t>
            </w:r>
            <w:r>
              <w:t>macroeconom</w:t>
            </w:r>
            <w:r w:rsidR="00B2530B">
              <w:t>i</w:t>
            </w:r>
            <w:r>
              <w:t xml:space="preserve">c statistics of </w:t>
            </w:r>
            <w:r w:rsidR="007927FA">
              <w:t xml:space="preserve">the </w:t>
            </w:r>
            <w:r>
              <w:t xml:space="preserve">external statistics, including </w:t>
            </w:r>
            <w:r w:rsidR="007927FA">
              <w:t>the</w:t>
            </w:r>
            <w:r>
              <w:t xml:space="preserve"> territorial breakdown.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t xml:space="preserve">International institutions </w:t>
            </w:r>
            <w:r w:rsidR="007927FA">
              <w:t>are working</w:t>
            </w:r>
            <w:r>
              <w:t xml:space="preserve"> to remove bilateral asymmetries </w:t>
            </w:r>
            <w:r w:rsidR="007927FA">
              <w:t>from the</w:t>
            </w:r>
            <w:r>
              <w:t xml:space="preserve"> national FDI data (exchange of data via the FDI network, publication of tables of FDI asymmetries).</w:t>
            </w:r>
          </w:p>
          <w:p w:rsidR="005822C7" w:rsidRPr="002662E2" w:rsidRDefault="005822C7"/>
        </w:tc>
      </w:tr>
    </w:tbl>
    <w:p w:rsidR="0088552F" w:rsidRPr="002662E2" w:rsidRDefault="00066518" w:rsidP="002662E2"/>
    <w:sectPr w:rsidR="0088552F" w:rsidRPr="002662E2" w:rsidSect="002662E2">
      <w:headerReference w:type="default" r:id="rId6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518" w:rsidRDefault="00066518" w:rsidP="002662E2">
      <w:pPr>
        <w:spacing w:after="0" w:line="240" w:lineRule="auto"/>
      </w:pPr>
      <w:r>
        <w:separator/>
      </w:r>
    </w:p>
  </w:endnote>
  <w:endnote w:type="continuationSeparator" w:id="0">
    <w:p w:rsidR="00066518" w:rsidRDefault="00066518" w:rsidP="002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518" w:rsidRDefault="00066518" w:rsidP="002662E2">
      <w:pPr>
        <w:spacing w:after="0" w:line="240" w:lineRule="auto"/>
      </w:pPr>
      <w:r>
        <w:separator/>
      </w:r>
    </w:p>
  </w:footnote>
  <w:footnote w:type="continuationSeparator" w:id="0">
    <w:p w:rsidR="00066518" w:rsidRDefault="00066518" w:rsidP="002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E2" w:rsidRDefault="002662E2">
    <w:pPr>
      <w:pStyle w:val="Header"/>
    </w:pPr>
    <w:r>
      <w:rPr>
        <w:b/>
      </w:rPr>
      <w:t>Description of the differences in the calculation of reinvested earnings in the national accounts and the balance of payments of the Czech Republic.</w:t>
    </w:r>
    <w:r w:rsidR="00AB547B">
      <w:rPr>
        <w:b/>
      </w:rPr>
      <w:br/>
    </w:r>
    <w:r w:rsidR="000958E2">
      <w:rPr>
        <w:b/>
      </w:rPr>
      <w:t>T</w:t>
    </w:r>
    <w:r>
      <w:rPr>
        <w:b/>
      </w:rPr>
      <w:t xml:space="preserve">he issue is also being </w:t>
    </w:r>
    <w:r w:rsidR="000958E2">
      <w:rPr>
        <w:b/>
      </w:rPr>
      <w:t>discussed</w:t>
    </w:r>
    <w:r>
      <w:rPr>
        <w:b/>
      </w:rPr>
      <w:t xml:space="preserve"> in Eurostat.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C7"/>
    <w:rsid w:val="00023B6E"/>
    <w:rsid w:val="00035E52"/>
    <w:rsid w:val="00066518"/>
    <w:rsid w:val="000958E2"/>
    <w:rsid w:val="000C643F"/>
    <w:rsid w:val="001332E4"/>
    <w:rsid w:val="00140B48"/>
    <w:rsid w:val="0022564B"/>
    <w:rsid w:val="002662E2"/>
    <w:rsid w:val="00284431"/>
    <w:rsid w:val="00384DEF"/>
    <w:rsid w:val="003E49B5"/>
    <w:rsid w:val="00460247"/>
    <w:rsid w:val="00464E23"/>
    <w:rsid w:val="004E2D90"/>
    <w:rsid w:val="004E2F70"/>
    <w:rsid w:val="005822C7"/>
    <w:rsid w:val="00662E7C"/>
    <w:rsid w:val="006D4753"/>
    <w:rsid w:val="006F1CEB"/>
    <w:rsid w:val="006F2B1A"/>
    <w:rsid w:val="0072654D"/>
    <w:rsid w:val="00740499"/>
    <w:rsid w:val="007927FA"/>
    <w:rsid w:val="007D4BDE"/>
    <w:rsid w:val="00897F20"/>
    <w:rsid w:val="00924F76"/>
    <w:rsid w:val="009A5A2E"/>
    <w:rsid w:val="00A3059F"/>
    <w:rsid w:val="00AB547B"/>
    <w:rsid w:val="00AD3152"/>
    <w:rsid w:val="00B2530B"/>
    <w:rsid w:val="00B46383"/>
    <w:rsid w:val="00C4565D"/>
    <w:rsid w:val="00CD1BCB"/>
    <w:rsid w:val="00D52E81"/>
    <w:rsid w:val="00D76411"/>
    <w:rsid w:val="00DC4FF7"/>
    <w:rsid w:val="00ED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CFE376-4CBC-48C3-99CC-13A3E4AA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B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2E2"/>
  </w:style>
  <w:style w:type="paragraph" w:styleId="Footer">
    <w:name w:val="footer"/>
    <w:basedOn w:val="Normal"/>
    <w:link w:val="FooterChar"/>
    <w:uiPriority w:val="99"/>
    <w:unhideWhenUsed/>
    <w:rsid w:val="002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Kermiet</dc:creator>
  <cp:lastModifiedBy>Simon Vollam (vollams@matrix.cz)</cp:lastModifiedBy>
  <cp:revision>4</cp:revision>
  <cp:lastPrinted>2017-06-05T10:00:00Z</cp:lastPrinted>
  <dcterms:created xsi:type="dcterms:W3CDTF">2017-07-23T10:37:00Z</dcterms:created>
  <dcterms:modified xsi:type="dcterms:W3CDTF">2017-07-23T10:53:00Z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_AdHocReviewCycleID">
    <vt:i4>57442343</vt:i4>
  </property>
  <property fmtid="{D5CDD505-2E9C-101B-9397-08002B2CF9AE}" pid="5" name="_EmailSubject">
    <vt:lpwstr> Popis rozdílu RIE CSU CNB eng</vt:lpwstr>
  </property>
  <property fmtid="{D5CDD505-2E9C-101B-9397-08002B2CF9AE}" pid="6" name="_AuthorEmail">
    <vt:lpwstr>Milan.Nejman@cnb.cz</vt:lpwstr>
  </property>
  <property fmtid="{D5CDD505-2E9C-101B-9397-08002B2CF9AE}" pid="7" name="_AuthorEmailDisplayName">
    <vt:lpwstr>Nejman Milan</vt:lpwstr>
  </property>
  <property fmtid="{D5CDD505-2E9C-101B-9397-08002B2CF9AE}" pid="8" name="_PreviousAdHocReviewCycleID">
    <vt:i4>1503017326</vt:i4>
  </property>
</Properties>
</file>