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1C7822" w14:textId="5AA4BA12" w:rsidR="00501FA0" w:rsidRDefault="00501FA0" w:rsidP="007756FB">
      <w:pPr>
        <w:pStyle w:val="NadpisMN"/>
        <w:spacing w:before="120" w:line="320" w:lineRule="exact"/>
        <w:contextualSpacing w:val="0"/>
        <w:jc w:val="both"/>
      </w:pPr>
      <w:r w:rsidRPr="001240C2">
        <w:rPr>
          <w:rFonts w:ascii="Times New Roman" w:hAnsi="Times New Roman" w:cs="Times New Roman"/>
          <w:color w:val="1F4E79" w:themeColor="accent1" w:themeShade="80"/>
          <w:sz w:val="28"/>
          <w:szCs w:val="28"/>
        </w:rPr>
        <w:t>PŘedpokládané změny ve statistickém výkaznictví ČNB od roku 202</w:t>
      </w:r>
      <w:r w:rsidR="00951323">
        <w:rPr>
          <w:rFonts w:ascii="Times New Roman" w:hAnsi="Times New Roman" w:cs="Times New Roman"/>
          <w:color w:val="1F4E79" w:themeColor="accent1" w:themeShade="80"/>
          <w:sz w:val="28"/>
          <w:szCs w:val="28"/>
        </w:rPr>
        <w:t>5</w:t>
      </w:r>
      <w:r w:rsidR="002D6F7E" w:rsidRPr="001240C2">
        <w:rPr>
          <w:rFonts w:ascii="Times New Roman" w:hAnsi="Times New Roman" w:cs="Times New Roman"/>
          <w:color w:val="1F4E79" w:themeColor="accent1" w:themeShade="80"/>
          <w:sz w:val="28"/>
          <w:szCs w:val="28"/>
        </w:rPr>
        <w:t>/202</w:t>
      </w:r>
      <w:r w:rsidR="00951323">
        <w:rPr>
          <w:rFonts w:ascii="Times New Roman" w:hAnsi="Times New Roman" w:cs="Times New Roman"/>
          <w:color w:val="1F4E79" w:themeColor="accent1" w:themeShade="80"/>
          <w:sz w:val="28"/>
          <w:szCs w:val="28"/>
        </w:rPr>
        <w:t>6</w:t>
      </w:r>
    </w:p>
    <w:p w14:paraId="07BC074B" w14:textId="77777777" w:rsidR="00F37E61" w:rsidRDefault="00F37E61" w:rsidP="00F37E61">
      <w:pPr>
        <w:pStyle w:val="Nadpis1"/>
        <w:spacing w:before="0"/>
        <w:jc w:val="both"/>
        <w:rPr>
          <w:rFonts w:ascii="Cambria" w:eastAsia="SimSun" w:hAnsi="Cambria"/>
          <w:b/>
        </w:rPr>
      </w:pPr>
    </w:p>
    <w:p w14:paraId="7850513F" w14:textId="1C085BF2" w:rsidR="00D94753" w:rsidRPr="00F37E61" w:rsidRDefault="00F37E61" w:rsidP="00F37E61">
      <w:pPr>
        <w:pStyle w:val="Nadpis1"/>
        <w:spacing w:before="0"/>
        <w:jc w:val="both"/>
        <w:rPr>
          <w:rFonts w:ascii="Cambria" w:eastAsia="SimSun" w:hAnsi="Cambria"/>
          <w:b/>
        </w:rPr>
      </w:pPr>
      <w:r>
        <w:rPr>
          <w:rFonts w:ascii="Cambria" w:eastAsia="SimSun" w:hAnsi="Cambria"/>
          <w:b/>
        </w:rPr>
        <w:t>Výkaznictví</w:t>
      </w:r>
      <w:r w:rsidRPr="00F37E61">
        <w:rPr>
          <w:rFonts w:ascii="Cambria" w:eastAsia="SimSun" w:hAnsi="Cambria"/>
          <w:b/>
        </w:rPr>
        <w:t xml:space="preserve"> dohledov</w:t>
      </w:r>
      <w:r>
        <w:rPr>
          <w:rFonts w:ascii="Cambria" w:eastAsia="SimSun" w:hAnsi="Cambria"/>
          <w:b/>
        </w:rPr>
        <w:t>é</w:t>
      </w:r>
      <w:r w:rsidRPr="00F37E61">
        <w:rPr>
          <w:rFonts w:ascii="Cambria" w:eastAsia="SimSun" w:hAnsi="Cambria"/>
          <w:b/>
        </w:rPr>
        <w:t>, měnov</w:t>
      </w:r>
      <w:r>
        <w:rPr>
          <w:rFonts w:ascii="Cambria" w:eastAsia="SimSun" w:hAnsi="Cambria"/>
          <w:b/>
        </w:rPr>
        <w:t>é</w:t>
      </w:r>
      <w:r w:rsidRPr="00F37E61">
        <w:rPr>
          <w:rFonts w:ascii="Cambria" w:eastAsia="SimSun" w:hAnsi="Cambria"/>
          <w:b/>
        </w:rPr>
        <w:t xml:space="preserve"> a finanční statistik</w:t>
      </w:r>
      <w:r>
        <w:rPr>
          <w:rFonts w:ascii="Cambria" w:eastAsia="SimSun" w:hAnsi="Cambria"/>
          <w:b/>
        </w:rPr>
        <w:t>y</w:t>
      </w:r>
    </w:p>
    <w:p w14:paraId="25DAA55E" w14:textId="77777777" w:rsidR="001C2BC8" w:rsidRPr="001C2BC8" w:rsidRDefault="001C2BC8" w:rsidP="008E5C85">
      <w:pPr>
        <w:jc w:val="both"/>
      </w:pPr>
    </w:p>
    <w:p w14:paraId="6A304655" w14:textId="788F1D57" w:rsidR="00661430" w:rsidRPr="00961057" w:rsidRDefault="00661430" w:rsidP="00961057">
      <w:pPr>
        <w:keepNext/>
        <w:keepLines/>
        <w:spacing w:before="120" w:line="360" w:lineRule="auto"/>
        <w:jc w:val="both"/>
        <w:outlineLvl w:val="1"/>
        <w:rPr>
          <w:rFonts w:ascii="Cambria" w:eastAsia="SimSun" w:hAnsi="Cambria" w:cs="Times New Roman"/>
          <w:b/>
          <w:bCs/>
          <w:color w:val="1F497D"/>
          <w:sz w:val="26"/>
          <w:szCs w:val="26"/>
        </w:rPr>
      </w:pPr>
      <w:r w:rsidRPr="00961057">
        <w:rPr>
          <w:rFonts w:ascii="Cambria" w:eastAsia="SimSun" w:hAnsi="Cambria" w:cs="Times New Roman"/>
          <w:b/>
          <w:bCs/>
          <w:color w:val="1F497D"/>
          <w:sz w:val="26"/>
          <w:szCs w:val="26"/>
        </w:rPr>
        <w:t>Klasifikace ekonomických činností CZ-NACE</w:t>
      </w:r>
    </w:p>
    <w:p w14:paraId="28F6016B" w14:textId="41358423" w:rsidR="001C2BC8" w:rsidRPr="00BF5345" w:rsidRDefault="00095565" w:rsidP="007756FB">
      <w:pPr>
        <w:spacing w:before="120" w:line="320" w:lineRule="exact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Vznik nového číselníku BA1051</w:t>
      </w:r>
      <w:r w:rsidR="001C2BC8" w:rsidRPr="00BF5345">
        <w:rPr>
          <w:b/>
          <w:sz w:val="24"/>
          <w:szCs w:val="24"/>
        </w:rPr>
        <w:t xml:space="preserve"> </w:t>
      </w:r>
      <w:r w:rsidR="00D83C8F">
        <w:rPr>
          <w:b/>
          <w:sz w:val="24"/>
          <w:szCs w:val="24"/>
        </w:rPr>
        <w:t>-</w:t>
      </w:r>
      <w:r w:rsidR="001C2BC8" w:rsidRPr="00BF5345">
        <w:rPr>
          <w:b/>
          <w:sz w:val="24"/>
          <w:szCs w:val="24"/>
        </w:rPr>
        <w:t xml:space="preserve"> Klasifikace ekonomických činností CZ-NACE</w:t>
      </w:r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Rev</w:t>
      </w:r>
      <w:proofErr w:type="spellEnd"/>
      <w:r>
        <w:rPr>
          <w:b/>
          <w:sz w:val="24"/>
          <w:szCs w:val="24"/>
        </w:rPr>
        <w:t>. 2.1</w:t>
      </w:r>
    </w:p>
    <w:p w14:paraId="43444FBD" w14:textId="2D165F5F" w:rsidR="001C2BC8" w:rsidRDefault="00CF544C" w:rsidP="001E0C3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S platností od 1. 1. 2026 bude v souladu s nařízením </w:t>
      </w:r>
      <w:r w:rsidR="001C2BC8" w:rsidRPr="004B18E6">
        <w:rPr>
          <w:sz w:val="24"/>
          <w:szCs w:val="24"/>
        </w:rPr>
        <w:t xml:space="preserve">Komise v přenesené pravomoci (EU) </w:t>
      </w:r>
      <w:hyperlink r:id="rId8" w:history="1">
        <w:r w:rsidR="001C2BC8" w:rsidRPr="004B18E6">
          <w:rPr>
            <w:rStyle w:val="Hypertextovodkaz"/>
            <w:sz w:val="24"/>
            <w:szCs w:val="24"/>
          </w:rPr>
          <w:t>2023/137</w:t>
        </w:r>
      </w:hyperlink>
      <w:r w:rsidR="007756FB">
        <w:rPr>
          <w:sz w:val="24"/>
          <w:szCs w:val="24"/>
        </w:rPr>
        <w:t xml:space="preserve"> z</w:t>
      </w:r>
      <w:r w:rsidR="000A1402">
        <w:rPr>
          <w:sz w:val="24"/>
          <w:szCs w:val="24"/>
        </w:rPr>
        <w:t xml:space="preserve"> </w:t>
      </w:r>
      <w:r w:rsidR="001C2BC8" w:rsidRPr="004B18E6">
        <w:rPr>
          <w:sz w:val="24"/>
          <w:szCs w:val="24"/>
        </w:rPr>
        <w:t>20. 1. 2023, kterým se zavádí nová verze statistické klasifikace ekonom</w:t>
      </w:r>
      <w:r w:rsidR="001C2BC8">
        <w:rPr>
          <w:sz w:val="24"/>
          <w:szCs w:val="24"/>
        </w:rPr>
        <w:t xml:space="preserve">ických činností NACE </w:t>
      </w:r>
      <w:proofErr w:type="spellStart"/>
      <w:r w:rsidR="001C2BC8">
        <w:rPr>
          <w:sz w:val="24"/>
          <w:szCs w:val="24"/>
        </w:rPr>
        <w:t>Rev</w:t>
      </w:r>
      <w:proofErr w:type="spellEnd"/>
      <w:r w:rsidR="001C2BC8">
        <w:rPr>
          <w:sz w:val="24"/>
          <w:szCs w:val="24"/>
        </w:rPr>
        <w:t>. 2.1</w:t>
      </w:r>
      <w:r w:rsidRPr="00CF544C">
        <w:rPr>
          <w:sz w:val="24"/>
          <w:szCs w:val="24"/>
        </w:rPr>
        <w:t xml:space="preserve"> </w:t>
      </w:r>
      <w:r>
        <w:rPr>
          <w:sz w:val="24"/>
          <w:szCs w:val="24"/>
        </w:rPr>
        <w:t>zaveden nový číselník BA1051. Ten nahradí současný číselník</w:t>
      </w:r>
      <w:r w:rsidR="001C2BC8" w:rsidRPr="0052403E">
        <w:rPr>
          <w:sz w:val="24"/>
          <w:szCs w:val="24"/>
        </w:rPr>
        <w:t xml:space="preserve"> BA0051</w:t>
      </w:r>
      <w:r w:rsidR="00D83C8F">
        <w:rPr>
          <w:sz w:val="24"/>
          <w:szCs w:val="24"/>
        </w:rPr>
        <w:t xml:space="preserve"> </w:t>
      </w:r>
      <w:r w:rsidR="001C2BC8" w:rsidRPr="0052403E">
        <w:rPr>
          <w:sz w:val="24"/>
          <w:szCs w:val="24"/>
        </w:rPr>
        <w:t>- Klasifikace ekonomických činností CZ-NACE (Klasifikace ekonomických činností odpovídající druhé úrovni, tj. oddílům Klasifikace ekonomických činností CZ-NACE vyhlášené sdělením Če</w:t>
      </w:r>
      <w:r w:rsidR="009D06F3">
        <w:rPr>
          <w:sz w:val="24"/>
          <w:szCs w:val="24"/>
        </w:rPr>
        <w:t>ského statistického úřadu (ČSÚ)</w:t>
      </w:r>
      <w:r w:rsidR="00951323">
        <w:rPr>
          <w:sz w:val="24"/>
          <w:szCs w:val="24"/>
        </w:rPr>
        <w:t xml:space="preserve">. </w:t>
      </w:r>
      <w:r w:rsidR="00945C63">
        <w:rPr>
          <w:sz w:val="24"/>
          <w:szCs w:val="24"/>
        </w:rPr>
        <w:t>Konkrétní případy aktuálních dopadů jsou uvedeny v jednotlivých kapitolách níže.</w:t>
      </w:r>
    </w:p>
    <w:p w14:paraId="0566D8B3" w14:textId="77777777" w:rsidR="00896998" w:rsidRDefault="00896998" w:rsidP="001E0C33">
      <w:pPr>
        <w:jc w:val="both"/>
        <w:rPr>
          <w:sz w:val="24"/>
          <w:szCs w:val="24"/>
        </w:rPr>
      </w:pPr>
    </w:p>
    <w:p w14:paraId="32669BFC" w14:textId="55DB43C6" w:rsidR="00951323" w:rsidRPr="009D06F3" w:rsidRDefault="00C05699" w:rsidP="009D06F3">
      <w:pPr>
        <w:keepNext/>
        <w:keepLines/>
        <w:spacing w:before="120" w:line="360" w:lineRule="auto"/>
        <w:jc w:val="both"/>
        <w:outlineLvl w:val="1"/>
        <w:rPr>
          <w:rFonts w:ascii="Cambria" w:eastAsia="SimSun" w:hAnsi="Cambria" w:cs="Times New Roman"/>
          <w:b/>
          <w:bCs/>
          <w:color w:val="1F497D"/>
          <w:sz w:val="26"/>
          <w:szCs w:val="26"/>
        </w:rPr>
      </w:pPr>
      <w:r w:rsidRPr="009D06F3">
        <w:rPr>
          <w:rFonts w:ascii="Cambria" w:eastAsia="SimSun" w:hAnsi="Cambria" w:cs="Times New Roman"/>
          <w:b/>
          <w:bCs/>
          <w:color w:val="1F497D"/>
          <w:sz w:val="26"/>
          <w:szCs w:val="26"/>
        </w:rPr>
        <w:t>Číselník měn</w:t>
      </w:r>
      <w:r w:rsidR="00995C50">
        <w:rPr>
          <w:rFonts w:ascii="Cambria" w:eastAsia="SimSun" w:hAnsi="Cambria" w:cs="Times New Roman"/>
          <w:b/>
          <w:bCs/>
          <w:color w:val="1F497D"/>
          <w:sz w:val="26"/>
          <w:szCs w:val="26"/>
        </w:rPr>
        <w:t xml:space="preserve"> a zemí</w:t>
      </w:r>
    </w:p>
    <w:p w14:paraId="3361BDD0" w14:textId="646805E1" w:rsidR="00C05699" w:rsidRDefault="00C05699" w:rsidP="00C05699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Upozorňujeme, že metodiky od ledna 2026 (xy20260101) mohou reflektovat rozhodnutí o případném vstupu Bulharska do eurozóny (rozhodnutí je očekáváno během léta 2025). V případě schválení vstupu Bulharska do eurozóny budou provedeny nezbytné úpravy příslušných číselníků, </w:t>
      </w:r>
      <w:r w:rsidR="00AD3CE1">
        <w:rPr>
          <w:sz w:val="24"/>
          <w:szCs w:val="24"/>
        </w:rPr>
        <w:t>(BA0025 a BA0010), jejich domén a jejich hierarchií v oblasti zemí eurozóny, měn (odebrání měny BGN). Dopady změn tak povedou k </w:t>
      </w:r>
      <w:proofErr w:type="spellStart"/>
      <w:r w:rsidR="00AD3CE1">
        <w:rPr>
          <w:sz w:val="24"/>
          <w:szCs w:val="24"/>
        </w:rPr>
        <w:t>verzování</w:t>
      </w:r>
      <w:proofErr w:type="spellEnd"/>
      <w:r w:rsidR="00AD3CE1">
        <w:rPr>
          <w:sz w:val="24"/>
          <w:szCs w:val="24"/>
        </w:rPr>
        <w:t xml:space="preserve"> dotčených datových oblastí (potažmo výkazů), </w:t>
      </w:r>
      <w:proofErr w:type="spellStart"/>
      <w:r w:rsidR="00AD3CE1">
        <w:rPr>
          <w:sz w:val="24"/>
          <w:szCs w:val="24"/>
        </w:rPr>
        <w:t>verzování</w:t>
      </w:r>
      <w:proofErr w:type="spellEnd"/>
      <w:r w:rsidR="00AD3CE1">
        <w:rPr>
          <w:sz w:val="24"/>
          <w:szCs w:val="24"/>
        </w:rPr>
        <w:t xml:space="preserve"> a úpravy navazujících kontrol.</w:t>
      </w:r>
      <w:r>
        <w:rPr>
          <w:sz w:val="24"/>
          <w:szCs w:val="24"/>
        </w:rPr>
        <w:t>.</w:t>
      </w:r>
    </w:p>
    <w:p w14:paraId="14051456" w14:textId="77777777" w:rsidR="00C05699" w:rsidRDefault="00C05699" w:rsidP="00661430">
      <w:pPr>
        <w:spacing w:before="120" w:after="120" w:line="320" w:lineRule="exact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0C1F3E0" w14:textId="77777777" w:rsidR="001C2BC8" w:rsidRDefault="001C2BC8" w:rsidP="00661430">
      <w:pPr>
        <w:keepNext/>
        <w:keepLines/>
        <w:spacing w:before="120" w:line="360" w:lineRule="auto"/>
        <w:jc w:val="both"/>
        <w:outlineLvl w:val="1"/>
        <w:rPr>
          <w:rFonts w:ascii="Cambria" w:eastAsia="SimSun" w:hAnsi="Cambria" w:cs="Times New Roman"/>
          <w:b/>
          <w:bCs/>
          <w:color w:val="1F497D"/>
          <w:sz w:val="26"/>
          <w:szCs w:val="26"/>
        </w:rPr>
      </w:pPr>
      <w:r w:rsidRPr="00B978E6">
        <w:rPr>
          <w:rFonts w:ascii="Cambria" w:eastAsia="SimSun" w:hAnsi="Cambria" w:cs="Times New Roman"/>
          <w:b/>
          <w:bCs/>
          <w:color w:val="1F497D"/>
          <w:sz w:val="26"/>
          <w:szCs w:val="26"/>
        </w:rPr>
        <w:t xml:space="preserve">Výkaznictví </w:t>
      </w:r>
      <w:r>
        <w:rPr>
          <w:rFonts w:ascii="Cambria" w:eastAsia="SimSun" w:hAnsi="Cambria" w:cs="Times New Roman"/>
          <w:b/>
          <w:bCs/>
          <w:color w:val="1F497D"/>
          <w:sz w:val="26"/>
          <w:szCs w:val="26"/>
        </w:rPr>
        <w:t>IS/IF</w:t>
      </w:r>
      <w:r w:rsidRPr="00B978E6">
        <w:rPr>
          <w:rFonts w:ascii="Cambria" w:eastAsia="SimSun" w:hAnsi="Cambria" w:cs="Times New Roman"/>
          <w:b/>
          <w:bCs/>
          <w:color w:val="1F497D"/>
          <w:sz w:val="26"/>
          <w:szCs w:val="26"/>
        </w:rPr>
        <w:t xml:space="preserve"> </w:t>
      </w:r>
    </w:p>
    <w:p w14:paraId="2D83777C" w14:textId="603C0622" w:rsidR="0097516D" w:rsidRDefault="0097516D" w:rsidP="00661430">
      <w:pPr>
        <w:spacing w:before="120" w:line="360" w:lineRule="auto"/>
        <w:jc w:val="both"/>
        <w:rPr>
          <w:b/>
          <w:sz w:val="26"/>
          <w:szCs w:val="26"/>
        </w:rPr>
      </w:pPr>
      <w:r w:rsidRPr="002E31FD">
        <w:rPr>
          <w:b/>
          <w:sz w:val="26"/>
          <w:szCs w:val="26"/>
        </w:rPr>
        <w:t>Evropské výkaznictví</w:t>
      </w:r>
      <w:r>
        <w:rPr>
          <w:b/>
          <w:sz w:val="26"/>
          <w:szCs w:val="26"/>
        </w:rPr>
        <w:t xml:space="preserve"> </w:t>
      </w:r>
    </w:p>
    <w:p w14:paraId="16D8F146" w14:textId="4778A70C" w:rsidR="006B226A" w:rsidRPr="008E5C85" w:rsidRDefault="006B226A" w:rsidP="008E5C85">
      <w:pPr>
        <w:spacing w:before="120" w:after="0" w:line="320" w:lineRule="exact"/>
        <w:jc w:val="both"/>
        <w:rPr>
          <w:b/>
          <w:sz w:val="24"/>
          <w:szCs w:val="24"/>
        </w:rPr>
      </w:pPr>
      <w:r w:rsidRPr="00F02E9D">
        <w:rPr>
          <w:b/>
          <w:sz w:val="24"/>
          <w:szCs w:val="24"/>
        </w:rPr>
        <w:t>AIFMD</w:t>
      </w:r>
    </w:p>
    <w:p w14:paraId="5CEA7D15" w14:textId="760FB8EB" w:rsidR="001625D4" w:rsidRPr="001625D4" w:rsidRDefault="006E7BE3" w:rsidP="00661430">
      <w:pPr>
        <w:spacing w:before="120" w:after="0"/>
        <w:jc w:val="both"/>
        <w:rPr>
          <w:sz w:val="24"/>
          <w:szCs w:val="24"/>
        </w:rPr>
      </w:pPr>
      <w:r>
        <w:rPr>
          <w:rFonts w:cstheme="minorHAnsi"/>
          <w:sz w:val="24"/>
          <w:szCs w:val="24"/>
        </w:rPr>
        <w:t>N</w:t>
      </w:r>
      <w:r w:rsidR="00973FFF">
        <w:rPr>
          <w:rFonts w:cstheme="minorHAnsi"/>
          <w:sz w:val="24"/>
          <w:szCs w:val="24"/>
        </w:rPr>
        <w:t>a základě výsledků šetření datové kvality a sběru dat mohou být</w:t>
      </w:r>
      <w:r w:rsidR="00973FFF">
        <w:rPr>
          <w:sz w:val="24"/>
          <w:szCs w:val="24"/>
        </w:rPr>
        <w:t xml:space="preserve"> do </w:t>
      </w:r>
      <w:r w:rsidR="005A48FF">
        <w:rPr>
          <w:sz w:val="24"/>
          <w:szCs w:val="24"/>
        </w:rPr>
        <w:t>výkazů</w:t>
      </w:r>
      <w:r w:rsidR="006B226A">
        <w:rPr>
          <w:sz w:val="24"/>
          <w:szCs w:val="24"/>
        </w:rPr>
        <w:t xml:space="preserve"> </w:t>
      </w:r>
      <w:r w:rsidR="006B226A" w:rsidRPr="00720123">
        <w:rPr>
          <w:rFonts w:cstheme="minorHAnsi"/>
          <w:sz w:val="24"/>
          <w:szCs w:val="24"/>
        </w:rPr>
        <w:t xml:space="preserve">OFZ (ČNB) 33-04 (ROFOS33) a OFZ (ČNB) 35-04 (ROFOS35) a </w:t>
      </w:r>
      <w:r w:rsidR="00270E03">
        <w:rPr>
          <w:rFonts w:cstheme="minorHAnsi"/>
          <w:sz w:val="24"/>
          <w:szCs w:val="24"/>
        </w:rPr>
        <w:t>rovněž</w:t>
      </w:r>
      <w:r w:rsidR="006B226A" w:rsidRPr="00720123">
        <w:rPr>
          <w:rFonts w:cstheme="minorHAnsi"/>
          <w:sz w:val="24"/>
          <w:szCs w:val="24"/>
        </w:rPr>
        <w:t xml:space="preserve"> OFZ (ČNB) 36-01 (ROFOS36) a OFZ (ČNB) 37-01 (ROFOS37)</w:t>
      </w:r>
      <w:r w:rsidR="006B226A">
        <w:rPr>
          <w:rFonts w:cstheme="minorHAnsi"/>
          <w:sz w:val="24"/>
          <w:szCs w:val="24"/>
        </w:rPr>
        <w:t xml:space="preserve"> </w:t>
      </w:r>
      <w:r w:rsidR="005A48FF">
        <w:rPr>
          <w:rFonts w:cstheme="minorHAnsi"/>
          <w:sz w:val="24"/>
          <w:szCs w:val="24"/>
        </w:rPr>
        <w:t xml:space="preserve">za účelem </w:t>
      </w:r>
      <w:r w:rsidR="005A48FF">
        <w:rPr>
          <w:sz w:val="24"/>
          <w:szCs w:val="24"/>
        </w:rPr>
        <w:t>zvýšení datové</w:t>
      </w:r>
      <w:r w:rsidR="006B226A">
        <w:rPr>
          <w:sz w:val="24"/>
          <w:szCs w:val="24"/>
        </w:rPr>
        <w:t xml:space="preserve"> kvalit</w:t>
      </w:r>
      <w:r w:rsidR="005A48FF">
        <w:rPr>
          <w:sz w:val="24"/>
          <w:szCs w:val="24"/>
        </w:rPr>
        <w:t>y</w:t>
      </w:r>
      <w:r w:rsidR="006B226A">
        <w:rPr>
          <w:sz w:val="24"/>
          <w:szCs w:val="24"/>
        </w:rPr>
        <w:t xml:space="preserve"> a zároveň </w:t>
      </w:r>
      <w:r w:rsidR="005A48FF">
        <w:rPr>
          <w:sz w:val="24"/>
          <w:szCs w:val="24"/>
        </w:rPr>
        <w:t>za účelem snížení</w:t>
      </w:r>
      <w:r w:rsidR="006B226A">
        <w:rPr>
          <w:sz w:val="24"/>
          <w:szCs w:val="24"/>
        </w:rPr>
        <w:t xml:space="preserve"> množství vyžadovaných </w:t>
      </w:r>
      <w:r w:rsidR="00757CBE">
        <w:rPr>
          <w:sz w:val="24"/>
          <w:szCs w:val="24"/>
        </w:rPr>
        <w:t>následných</w:t>
      </w:r>
      <w:r w:rsidR="006B226A">
        <w:rPr>
          <w:sz w:val="24"/>
          <w:szCs w:val="24"/>
        </w:rPr>
        <w:t xml:space="preserve"> oprav</w:t>
      </w:r>
      <w:r w:rsidR="004B52EE">
        <w:rPr>
          <w:sz w:val="24"/>
          <w:szCs w:val="24"/>
        </w:rPr>
        <w:t xml:space="preserve"> </w:t>
      </w:r>
      <w:r w:rsidR="004B52EE">
        <w:rPr>
          <w:rFonts w:cstheme="minorHAnsi"/>
          <w:sz w:val="24"/>
          <w:szCs w:val="24"/>
        </w:rPr>
        <w:t xml:space="preserve">doplněny </w:t>
      </w:r>
      <w:proofErr w:type="spellStart"/>
      <w:r w:rsidR="004B52EE">
        <w:rPr>
          <w:rFonts w:cstheme="minorHAnsi"/>
          <w:sz w:val="24"/>
          <w:szCs w:val="24"/>
        </w:rPr>
        <w:t>jednovýkazové</w:t>
      </w:r>
      <w:proofErr w:type="spellEnd"/>
      <w:r w:rsidR="004B52EE">
        <w:rPr>
          <w:rFonts w:cstheme="minorHAnsi"/>
          <w:sz w:val="24"/>
          <w:szCs w:val="24"/>
        </w:rPr>
        <w:t xml:space="preserve"> kontroly</w:t>
      </w:r>
      <w:r w:rsidR="006B226A">
        <w:rPr>
          <w:sz w:val="24"/>
          <w:szCs w:val="24"/>
        </w:rPr>
        <w:t xml:space="preserve">. </w:t>
      </w:r>
    </w:p>
    <w:p w14:paraId="2565490B" w14:textId="2D5E401C" w:rsidR="00271E68" w:rsidRDefault="00271E68" w:rsidP="00661430">
      <w:pPr>
        <w:spacing w:before="120" w:line="320" w:lineRule="exact"/>
        <w:jc w:val="both"/>
        <w:rPr>
          <w:sz w:val="24"/>
          <w:szCs w:val="24"/>
        </w:rPr>
      </w:pPr>
    </w:p>
    <w:p w14:paraId="13CE3589" w14:textId="77777777" w:rsidR="00AA2CCF" w:rsidRDefault="00AA2CCF" w:rsidP="00661430">
      <w:pPr>
        <w:spacing w:before="120" w:line="320" w:lineRule="exact"/>
        <w:jc w:val="both"/>
        <w:rPr>
          <w:sz w:val="24"/>
          <w:szCs w:val="24"/>
        </w:rPr>
      </w:pPr>
    </w:p>
    <w:p w14:paraId="24C412C9" w14:textId="34A2D3F6" w:rsidR="00501FA0" w:rsidRDefault="00501FA0" w:rsidP="00661430">
      <w:pPr>
        <w:spacing w:line="360" w:lineRule="auto"/>
        <w:jc w:val="both"/>
        <w:rPr>
          <w:b/>
          <w:sz w:val="26"/>
          <w:szCs w:val="26"/>
        </w:rPr>
      </w:pPr>
      <w:r w:rsidRPr="00DE3A35">
        <w:rPr>
          <w:b/>
          <w:sz w:val="26"/>
          <w:szCs w:val="26"/>
        </w:rPr>
        <w:lastRenderedPageBreak/>
        <w:t>Národní výkaznictví</w:t>
      </w:r>
    </w:p>
    <w:p w14:paraId="34B811D1" w14:textId="1F57934A" w:rsidR="00EB57A1" w:rsidRPr="002252D3" w:rsidRDefault="00EA1842" w:rsidP="0076290A">
      <w:pPr>
        <w:pStyle w:val="Odstavecseseznamem"/>
        <w:numPr>
          <w:ilvl w:val="0"/>
          <w:numId w:val="15"/>
        </w:numPr>
        <w:ind w:left="426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Výkaz </w:t>
      </w:r>
      <w:r w:rsidR="0076290A" w:rsidRPr="0076290A">
        <w:rPr>
          <w:b/>
          <w:bCs/>
          <w:sz w:val="24"/>
          <w:szCs w:val="24"/>
        </w:rPr>
        <w:t>OFZ (ČNB) 40-04</w:t>
      </w:r>
      <w:r w:rsidR="0096204A">
        <w:rPr>
          <w:b/>
          <w:bCs/>
          <w:sz w:val="24"/>
          <w:szCs w:val="24"/>
        </w:rPr>
        <w:t xml:space="preserve"> </w:t>
      </w:r>
    </w:p>
    <w:p w14:paraId="5BFA213C" w14:textId="7518DB74" w:rsidR="004C52FD" w:rsidRDefault="00EB57A1" w:rsidP="005373B1">
      <w:pPr>
        <w:spacing w:before="120" w:after="0"/>
        <w:jc w:val="both"/>
        <w:rPr>
          <w:sz w:val="24"/>
          <w:szCs w:val="24"/>
        </w:rPr>
      </w:pPr>
      <w:r w:rsidRPr="003656CF">
        <w:rPr>
          <w:sz w:val="24"/>
          <w:szCs w:val="24"/>
        </w:rPr>
        <w:t>Výkaz</w:t>
      </w:r>
      <w:r w:rsidR="0076290A" w:rsidRPr="0076290A">
        <w:t xml:space="preserve"> </w:t>
      </w:r>
      <w:r w:rsidR="0076290A">
        <w:rPr>
          <w:sz w:val="24"/>
          <w:szCs w:val="24"/>
        </w:rPr>
        <w:t>DOFOS40</w:t>
      </w:r>
      <w:r w:rsidR="00F70DD2">
        <w:rPr>
          <w:sz w:val="24"/>
          <w:szCs w:val="24"/>
        </w:rPr>
        <w:t xml:space="preserve"> -</w:t>
      </w:r>
      <w:r w:rsidR="0076290A" w:rsidRPr="0076290A">
        <w:rPr>
          <w:sz w:val="24"/>
          <w:szCs w:val="24"/>
        </w:rPr>
        <w:t xml:space="preserve"> </w:t>
      </w:r>
      <w:r w:rsidR="0076290A" w:rsidRPr="003656CF">
        <w:rPr>
          <w:sz w:val="24"/>
          <w:szCs w:val="24"/>
        </w:rPr>
        <w:t xml:space="preserve">OFZ (ČNB) </w:t>
      </w:r>
      <w:r w:rsidR="0076290A">
        <w:rPr>
          <w:sz w:val="24"/>
          <w:szCs w:val="24"/>
        </w:rPr>
        <w:t>4</w:t>
      </w:r>
      <w:r w:rsidR="0076290A" w:rsidRPr="003656CF">
        <w:rPr>
          <w:sz w:val="24"/>
          <w:szCs w:val="24"/>
        </w:rPr>
        <w:t>0-04 „</w:t>
      </w:r>
      <w:r w:rsidR="0076290A" w:rsidRPr="0076290A">
        <w:rPr>
          <w:sz w:val="24"/>
          <w:szCs w:val="24"/>
        </w:rPr>
        <w:t>Údaje o nemovitostech</w:t>
      </w:r>
      <w:r w:rsidR="0076290A">
        <w:rPr>
          <w:sz w:val="24"/>
          <w:szCs w:val="24"/>
        </w:rPr>
        <w:t xml:space="preserve">“ </w:t>
      </w:r>
      <w:r w:rsidR="00C739ED" w:rsidRPr="003656CF">
        <w:rPr>
          <w:sz w:val="24"/>
          <w:szCs w:val="24"/>
        </w:rPr>
        <w:t>bude</w:t>
      </w:r>
      <w:r w:rsidR="002A1EB0" w:rsidRPr="003656CF">
        <w:rPr>
          <w:sz w:val="24"/>
          <w:szCs w:val="24"/>
        </w:rPr>
        <w:t xml:space="preserve"> v</w:t>
      </w:r>
      <w:r w:rsidR="0076290A">
        <w:rPr>
          <w:sz w:val="24"/>
          <w:szCs w:val="24"/>
        </w:rPr>
        <w:t> metodice FOFI2025</w:t>
      </w:r>
      <w:r w:rsidR="00FB45B5" w:rsidRPr="003656CF">
        <w:rPr>
          <w:sz w:val="24"/>
          <w:szCs w:val="24"/>
        </w:rPr>
        <w:t>1201</w:t>
      </w:r>
      <w:r w:rsidR="00C739ED" w:rsidRPr="003656CF">
        <w:rPr>
          <w:sz w:val="24"/>
          <w:szCs w:val="24"/>
        </w:rPr>
        <w:t xml:space="preserve"> upraven, viz přiložený soubor „</w:t>
      </w:r>
      <w:r w:rsidR="00397A61">
        <w:rPr>
          <w:sz w:val="24"/>
          <w:szCs w:val="24"/>
        </w:rPr>
        <w:t>DOFOS40_DOFO40_11_</w:t>
      </w:r>
      <w:r w:rsidR="002A1EB0" w:rsidRPr="003656CF">
        <w:rPr>
          <w:sz w:val="24"/>
          <w:szCs w:val="24"/>
        </w:rPr>
        <w:t>úprava.xlsx</w:t>
      </w:r>
      <w:r w:rsidR="00C739ED" w:rsidRPr="003656CF">
        <w:rPr>
          <w:sz w:val="24"/>
          <w:szCs w:val="24"/>
        </w:rPr>
        <w:t xml:space="preserve">“. </w:t>
      </w:r>
      <w:r w:rsidR="00AF5C02">
        <w:rPr>
          <w:sz w:val="24"/>
          <w:szCs w:val="24"/>
        </w:rPr>
        <w:t>B</w:t>
      </w:r>
      <w:r w:rsidR="00C739ED" w:rsidRPr="003656CF">
        <w:rPr>
          <w:sz w:val="24"/>
          <w:szCs w:val="24"/>
        </w:rPr>
        <w:t>ude upravena datová oblast DOFO</w:t>
      </w:r>
      <w:r w:rsidR="00AF5C02">
        <w:rPr>
          <w:sz w:val="24"/>
          <w:szCs w:val="24"/>
        </w:rPr>
        <w:t>40</w:t>
      </w:r>
      <w:r w:rsidR="00C739ED" w:rsidRPr="003656CF">
        <w:rPr>
          <w:sz w:val="24"/>
          <w:szCs w:val="24"/>
        </w:rPr>
        <w:t>_</w:t>
      </w:r>
      <w:r w:rsidR="00AF5C02">
        <w:rPr>
          <w:sz w:val="24"/>
          <w:szCs w:val="24"/>
        </w:rPr>
        <w:t>11</w:t>
      </w:r>
      <w:r w:rsidR="00C739ED" w:rsidRPr="003656CF">
        <w:rPr>
          <w:sz w:val="24"/>
          <w:szCs w:val="24"/>
        </w:rPr>
        <w:t xml:space="preserve">, v datové oblasti </w:t>
      </w:r>
      <w:r w:rsidR="00AF5C02">
        <w:rPr>
          <w:sz w:val="24"/>
          <w:szCs w:val="24"/>
        </w:rPr>
        <w:t>budou doplněny dva sloupce „</w:t>
      </w:r>
      <w:r w:rsidR="00AF5C02" w:rsidRPr="00AF5C02">
        <w:rPr>
          <w:sz w:val="24"/>
          <w:szCs w:val="24"/>
        </w:rPr>
        <w:t>Typ nemovitosti</w:t>
      </w:r>
      <w:r w:rsidR="00AF5C02">
        <w:rPr>
          <w:sz w:val="24"/>
          <w:szCs w:val="24"/>
        </w:rPr>
        <w:t xml:space="preserve">“ a </w:t>
      </w:r>
      <w:r w:rsidR="00AF5C02" w:rsidRPr="00AF5C02">
        <w:rPr>
          <w:sz w:val="24"/>
          <w:szCs w:val="24"/>
        </w:rPr>
        <w:tab/>
      </w:r>
      <w:r w:rsidR="00AF5C02">
        <w:rPr>
          <w:sz w:val="24"/>
          <w:szCs w:val="24"/>
        </w:rPr>
        <w:t>„</w:t>
      </w:r>
      <w:r w:rsidR="00AF5C02" w:rsidRPr="00AF5C02">
        <w:rPr>
          <w:sz w:val="24"/>
          <w:szCs w:val="24"/>
        </w:rPr>
        <w:t>Účel využití</w:t>
      </w:r>
      <w:r w:rsidR="00AF5C02">
        <w:rPr>
          <w:sz w:val="24"/>
          <w:szCs w:val="24"/>
        </w:rPr>
        <w:t>“.</w:t>
      </w:r>
    </w:p>
    <w:p w14:paraId="2E345EDA" w14:textId="6D727843" w:rsidR="00411F55" w:rsidRPr="003656CF" w:rsidRDefault="00411F55" w:rsidP="00661430">
      <w:pPr>
        <w:jc w:val="both"/>
        <w:rPr>
          <w:sz w:val="24"/>
          <w:szCs w:val="24"/>
        </w:rPr>
      </w:pPr>
    </w:p>
    <w:p w14:paraId="3A6EDB26" w14:textId="09D3E8A2" w:rsidR="0096204A" w:rsidRPr="002252D3" w:rsidRDefault="0096204A" w:rsidP="0096204A">
      <w:pPr>
        <w:pStyle w:val="Odstavecseseznamem"/>
        <w:numPr>
          <w:ilvl w:val="0"/>
          <w:numId w:val="15"/>
        </w:numPr>
        <w:ind w:left="426"/>
        <w:jc w:val="both"/>
        <w:rPr>
          <w:b/>
          <w:bCs/>
          <w:sz w:val="24"/>
          <w:szCs w:val="24"/>
        </w:rPr>
      </w:pPr>
      <w:r w:rsidRPr="002252D3">
        <w:rPr>
          <w:b/>
          <w:bCs/>
          <w:sz w:val="24"/>
          <w:szCs w:val="24"/>
        </w:rPr>
        <w:t xml:space="preserve">Výkaz </w:t>
      </w:r>
      <w:r w:rsidRPr="0096204A">
        <w:rPr>
          <w:b/>
          <w:bCs/>
          <w:sz w:val="24"/>
          <w:szCs w:val="24"/>
        </w:rPr>
        <w:t>OFZ (ČNB) 60-04</w:t>
      </w:r>
    </w:p>
    <w:p w14:paraId="4EE9A15D" w14:textId="7F370168" w:rsidR="0096204A" w:rsidRDefault="0096204A" w:rsidP="0096204A">
      <w:pPr>
        <w:spacing w:before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Výkaz </w:t>
      </w:r>
      <w:r w:rsidRPr="0096204A">
        <w:rPr>
          <w:sz w:val="24"/>
          <w:szCs w:val="24"/>
        </w:rPr>
        <w:t>DOFOS60</w:t>
      </w:r>
      <w:r w:rsidR="00F70DD2">
        <w:rPr>
          <w:sz w:val="24"/>
          <w:szCs w:val="24"/>
        </w:rPr>
        <w:t xml:space="preserve"> -</w:t>
      </w:r>
      <w:r>
        <w:rPr>
          <w:sz w:val="24"/>
          <w:szCs w:val="24"/>
        </w:rPr>
        <w:t xml:space="preserve"> OFZ (ČNB) </w:t>
      </w:r>
      <w:r w:rsidRPr="0096204A">
        <w:rPr>
          <w:sz w:val="24"/>
          <w:szCs w:val="24"/>
        </w:rPr>
        <w:t xml:space="preserve">60-04 </w:t>
      </w:r>
      <w:r>
        <w:rPr>
          <w:sz w:val="24"/>
          <w:szCs w:val="24"/>
        </w:rPr>
        <w:t>„</w:t>
      </w:r>
      <w:r w:rsidRPr="0096204A">
        <w:rPr>
          <w:sz w:val="24"/>
          <w:szCs w:val="24"/>
        </w:rPr>
        <w:t>Hlášení obhospodařovatele o plnění podmínek pro výkon činnosti</w:t>
      </w:r>
      <w:r>
        <w:rPr>
          <w:sz w:val="24"/>
          <w:szCs w:val="24"/>
        </w:rPr>
        <w:t>“ bude upraven v metodice FOFI20251201, viz přiložený soubor</w:t>
      </w:r>
      <w:r w:rsidRPr="00C739ED">
        <w:t xml:space="preserve"> </w:t>
      </w:r>
      <w:r>
        <w:t>„</w:t>
      </w:r>
      <w:r w:rsidR="00603774" w:rsidRPr="00603774">
        <w:rPr>
          <w:sz w:val="24"/>
          <w:szCs w:val="24"/>
        </w:rPr>
        <w:t>DOFOS60_DOFO60_12_upravy</w:t>
      </w:r>
      <w:r w:rsidRPr="00C739ED">
        <w:rPr>
          <w:sz w:val="24"/>
          <w:szCs w:val="24"/>
        </w:rPr>
        <w:t>.xlsx</w:t>
      </w:r>
      <w:r>
        <w:rPr>
          <w:sz w:val="24"/>
          <w:szCs w:val="24"/>
        </w:rPr>
        <w:t>“. V datové oblasti DOFO60_12 bude doplněn řádek „</w:t>
      </w:r>
      <w:r w:rsidRPr="0096204A">
        <w:rPr>
          <w:sz w:val="24"/>
          <w:szCs w:val="24"/>
        </w:rPr>
        <w:t>Dodatečný KP dle § 11 odst. 8</w:t>
      </w:r>
      <w:r>
        <w:rPr>
          <w:sz w:val="24"/>
          <w:szCs w:val="24"/>
        </w:rPr>
        <w:t>“. Dále budou doplněny příslušné JVK.</w:t>
      </w:r>
    </w:p>
    <w:p w14:paraId="3690ADC8" w14:textId="316E8F2B" w:rsidR="00AF5C02" w:rsidRPr="004F377F" w:rsidRDefault="006B5916" w:rsidP="004F377F">
      <w:pPr>
        <w:pStyle w:val="Odstavecseseznamem"/>
        <w:numPr>
          <w:ilvl w:val="0"/>
          <w:numId w:val="15"/>
        </w:numPr>
        <w:ind w:left="426"/>
        <w:jc w:val="both"/>
        <w:rPr>
          <w:b/>
          <w:sz w:val="24"/>
          <w:szCs w:val="24"/>
        </w:rPr>
      </w:pPr>
      <w:r w:rsidRPr="004F377F">
        <w:rPr>
          <w:b/>
          <w:sz w:val="24"/>
          <w:szCs w:val="24"/>
        </w:rPr>
        <w:t>Výkaz OFZ (ČNB) 50-04</w:t>
      </w:r>
    </w:p>
    <w:p w14:paraId="44E4D0E8" w14:textId="233698EF" w:rsidR="00C739ED" w:rsidRDefault="004F377F" w:rsidP="00661430">
      <w:pPr>
        <w:jc w:val="both"/>
        <w:rPr>
          <w:sz w:val="24"/>
          <w:szCs w:val="24"/>
        </w:rPr>
      </w:pPr>
      <w:r>
        <w:rPr>
          <w:sz w:val="24"/>
          <w:szCs w:val="24"/>
        </w:rPr>
        <w:t>V</w:t>
      </w:r>
      <w:r w:rsidR="005373B1">
        <w:rPr>
          <w:sz w:val="24"/>
          <w:szCs w:val="24"/>
        </w:rPr>
        <w:t>e v</w:t>
      </w:r>
      <w:r>
        <w:rPr>
          <w:sz w:val="24"/>
          <w:szCs w:val="24"/>
        </w:rPr>
        <w:t>ýkaz</w:t>
      </w:r>
      <w:r w:rsidR="005373B1">
        <w:rPr>
          <w:sz w:val="24"/>
          <w:szCs w:val="24"/>
        </w:rPr>
        <w:t>u</w:t>
      </w:r>
      <w:r>
        <w:rPr>
          <w:sz w:val="24"/>
          <w:szCs w:val="24"/>
        </w:rPr>
        <w:t xml:space="preserve"> DOFOS5</w:t>
      </w:r>
      <w:r w:rsidRPr="0096204A">
        <w:rPr>
          <w:sz w:val="24"/>
          <w:szCs w:val="24"/>
        </w:rPr>
        <w:t>0</w:t>
      </w:r>
      <w:r w:rsidR="00F70DD2">
        <w:rPr>
          <w:sz w:val="24"/>
          <w:szCs w:val="24"/>
        </w:rPr>
        <w:t xml:space="preserve"> - </w:t>
      </w:r>
      <w:r w:rsidRPr="004F377F">
        <w:rPr>
          <w:sz w:val="24"/>
          <w:szCs w:val="24"/>
        </w:rPr>
        <w:t xml:space="preserve">OFZ (ČNB) 50-04 </w:t>
      </w:r>
      <w:r>
        <w:rPr>
          <w:sz w:val="24"/>
          <w:szCs w:val="24"/>
        </w:rPr>
        <w:t>„</w:t>
      </w:r>
      <w:r w:rsidRPr="004F377F">
        <w:rPr>
          <w:sz w:val="24"/>
          <w:szCs w:val="24"/>
        </w:rPr>
        <w:t>Souhrnné informace</w:t>
      </w:r>
      <w:r>
        <w:rPr>
          <w:sz w:val="24"/>
          <w:szCs w:val="24"/>
        </w:rPr>
        <w:t xml:space="preserve">“ </w:t>
      </w:r>
      <w:r w:rsidR="005373B1">
        <w:rPr>
          <w:sz w:val="24"/>
          <w:szCs w:val="24"/>
        </w:rPr>
        <w:t xml:space="preserve">bude v </w:t>
      </w:r>
      <w:r>
        <w:rPr>
          <w:sz w:val="24"/>
          <w:szCs w:val="24"/>
        </w:rPr>
        <w:t>m</w:t>
      </w:r>
      <w:r w:rsidR="00FB45B5" w:rsidRPr="003656CF">
        <w:rPr>
          <w:sz w:val="24"/>
          <w:szCs w:val="24"/>
        </w:rPr>
        <w:t>etodice FOFI202</w:t>
      </w:r>
      <w:r w:rsidR="006B5916">
        <w:rPr>
          <w:sz w:val="24"/>
          <w:szCs w:val="24"/>
        </w:rPr>
        <w:t>6</w:t>
      </w:r>
      <w:r w:rsidR="00FB45B5" w:rsidRPr="003656CF">
        <w:rPr>
          <w:sz w:val="24"/>
          <w:szCs w:val="24"/>
        </w:rPr>
        <w:t>0101</w:t>
      </w:r>
      <w:r w:rsidR="006B5916">
        <w:rPr>
          <w:sz w:val="24"/>
          <w:szCs w:val="24"/>
        </w:rPr>
        <w:t xml:space="preserve"> implementována</w:t>
      </w:r>
      <w:r w:rsidR="006B5916" w:rsidRPr="006B5916">
        <w:t xml:space="preserve"> </w:t>
      </w:r>
      <w:r w:rsidR="006B5916" w:rsidRPr="006B5916">
        <w:rPr>
          <w:sz w:val="24"/>
          <w:szCs w:val="24"/>
        </w:rPr>
        <w:t>nová verze statistické klasifikace ekono</w:t>
      </w:r>
      <w:r w:rsidR="006B5916">
        <w:rPr>
          <w:sz w:val="24"/>
          <w:szCs w:val="24"/>
        </w:rPr>
        <w:t xml:space="preserve">mických činností NACE </w:t>
      </w:r>
      <w:proofErr w:type="spellStart"/>
      <w:r w:rsidR="006B5916">
        <w:rPr>
          <w:sz w:val="24"/>
          <w:szCs w:val="24"/>
        </w:rPr>
        <w:t>Rev</w:t>
      </w:r>
      <w:proofErr w:type="spellEnd"/>
      <w:r w:rsidR="006B5916">
        <w:rPr>
          <w:sz w:val="24"/>
          <w:szCs w:val="24"/>
        </w:rPr>
        <w:t xml:space="preserve">. </w:t>
      </w:r>
      <w:r w:rsidR="00577BF6">
        <w:rPr>
          <w:sz w:val="24"/>
          <w:szCs w:val="24"/>
        </w:rPr>
        <w:t>2.1, místo</w:t>
      </w:r>
      <w:r w:rsidR="006B5916" w:rsidRPr="006B5916">
        <w:rPr>
          <w:sz w:val="24"/>
          <w:szCs w:val="24"/>
        </w:rPr>
        <w:t xml:space="preserve"> současného číselníku BA0051 bude zaveden zcela nový číselník.</w:t>
      </w:r>
      <w:r w:rsidR="004C52FD">
        <w:rPr>
          <w:sz w:val="24"/>
          <w:szCs w:val="24"/>
        </w:rPr>
        <w:t xml:space="preserve"> </w:t>
      </w:r>
    </w:p>
    <w:p w14:paraId="4355B9C6" w14:textId="77777777" w:rsidR="00894531" w:rsidRPr="00440115" w:rsidRDefault="00894531" w:rsidP="00894531">
      <w:pPr>
        <w:pStyle w:val="Odstavecseseznamem"/>
        <w:numPr>
          <w:ilvl w:val="0"/>
          <w:numId w:val="15"/>
        </w:numPr>
        <w:ind w:left="426"/>
        <w:jc w:val="both"/>
        <w:rPr>
          <w:b/>
          <w:sz w:val="24"/>
          <w:szCs w:val="24"/>
        </w:rPr>
      </w:pPr>
      <w:r w:rsidRPr="00440115">
        <w:rPr>
          <w:b/>
          <w:sz w:val="24"/>
          <w:szCs w:val="24"/>
        </w:rPr>
        <w:t>Výkaz OZN</w:t>
      </w:r>
      <w:r>
        <w:rPr>
          <w:b/>
          <w:sz w:val="24"/>
          <w:szCs w:val="24"/>
        </w:rPr>
        <w:t>10</w:t>
      </w:r>
      <w:r w:rsidRPr="00440115">
        <w:rPr>
          <w:b/>
          <w:sz w:val="24"/>
          <w:szCs w:val="24"/>
        </w:rPr>
        <w:t xml:space="preserve"> </w:t>
      </w:r>
      <w:r w:rsidRPr="00440115">
        <w:rPr>
          <w:b/>
          <w:sz w:val="24"/>
          <w:szCs w:val="24"/>
        </w:rPr>
        <w:tab/>
      </w:r>
    </w:p>
    <w:p w14:paraId="4AC4ADF5" w14:textId="6B8227CC" w:rsidR="00894531" w:rsidRDefault="00894531" w:rsidP="00894531">
      <w:pPr>
        <w:jc w:val="both"/>
        <w:rPr>
          <w:sz w:val="24"/>
          <w:szCs w:val="24"/>
        </w:rPr>
      </w:pPr>
      <w:r w:rsidRPr="00440115">
        <w:rPr>
          <w:sz w:val="24"/>
          <w:szCs w:val="24"/>
        </w:rPr>
        <w:t xml:space="preserve">Výkaz </w:t>
      </w:r>
      <w:r>
        <w:rPr>
          <w:sz w:val="24"/>
          <w:szCs w:val="24"/>
        </w:rPr>
        <w:t>OZN10</w:t>
      </w:r>
      <w:r w:rsidRPr="00440115">
        <w:rPr>
          <w:sz w:val="24"/>
          <w:szCs w:val="24"/>
        </w:rPr>
        <w:t xml:space="preserve"> „Oznámení k (pod)fondu – ostatní“ bude v metodice </w:t>
      </w:r>
      <w:r w:rsidR="001379FA">
        <w:rPr>
          <w:sz w:val="24"/>
          <w:szCs w:val="24"/>
        </w:rPr>
        <w:t>FODOK</w:t>
      </w:r>
      <w:r w:rsidRPr="00440115">
        <w:rPr>
          <w:sz w:val="24"/>
          <w:szCs w:val="24"/>
        </w:rPr>
        <w:t xml:space="preserve">20251201 </w:t>
      </w:r>
      <w:r>
        <w:rPr>
          <w:sz w:val="24"/>
          <w:szCs w:val="24"/>
        </w:rPr>
        <w:t>upraven</w:t>
      </w:r>
      <w:r w:rsidRPr="00894531">
        <w:t xml:space="preserve"> </w:t>
      </w:r>
      <w:r w:rsidRPr="00894531">
        <w:rPr>
          <w:sz w:val="24"/>
          <w:szCs w:val="24"/>
        </w:rPr>
        <w:t>viz přiložený soubor „</w:t>
      </w:r>
      <w:r>
        <w:rPr>
          <w:sz w:val="24"/>
          <w:szCs w:val="24"/>
        </w:rPr>
        <w:t>OZN10</w:t>
      </w:r>
      <w:r w:rsidRPr="00894531">
        <w:rPr>
          <w:sz w:val="24"/>
          <w:szCs w:val="24"/>
        </w:rPr>
        <w:t>_úprava_výkazu.</w:t>
      </w:r>
      <w:r w:rsidR="00E7587F" w:rsidRPr="00894531">
        <w:rPr>
          <w:sz w:val="24"/>
          <w:szCs w:val="24"/>
        </w:rPr>
        <w:t>xlsx“</w:t>
      </w:r>
      <w:r w:rsidR="00E7587F">
        <w:rPr>
          <w:sz w:val="24"/>
          <w:szCs w:val="24"/>
        </w:rPr>
        <w:t>. V datové</w:t>
      </w:r>
      <w:r>
        <w:rPr>
          <w:sz w:val="24"/>
          <w:szCs w:val="24"/>
        </w:rPr>
        <w:t xml:space="preserve"> oblasti </w:t>
      </w:r>
      <w:r w:rsidRPr="00251577">
        <w:rPr>
          <w:sz w:val="24"/>
          <w:szCs w:val="24"/>
        </w:rPr>
        <w:t>OZN10_10</w:t>
      </w:r>
      <w:r w:rsidR="00EA2264">
        <w:rPr>
          <w:sz w:val="24"/>
          <w:szCs w:val="24"/>
        </w:rPr>
        <w:t xml:space="preserve"> bude rozšířen číselník „T</w:t>
      </w:r>
      <w:r>
        <w:rPr>
          <w:sz w:val="24"/>
          <w:szCs w:val="24"/>
        </w:rPr>
        <w:t>yp dokumentu</w:t>
      </w:r>
      <w:r w:rsidR="00EA2264">
        <w:rPr>
          <w:sz w:val="24"/>
          <w:szCs w:val="24"/>
        </w:rPr>
        <w:t>“</w:t>
      </w:r>
      <w:r>
        <w:rPr>
          <w:sz w:val="24"/>
          <w:szCs w:val="24"/>
        </w:rPr>
        <w:t xml:space="preserve"> o tři nové položky: </w:t>
      </w:r>
    </w:p>
    <w:p w14:paraId="76525F5A" w14:textId="77777777" w:rsidR="00894531" w:rsidRPr="00251577" w:rsidRDefault="00894531" w:rsidP="00894531">
      <w:pPr>
        <w:pStyle w:val="Odstavecseseznamem"/>
        <w:numPr>
          <w:ilvl w:val="0"/>
          <w:numId w:val="35"/>
        </w:numPr>
        <w:jc w:val="both"/>
        <w:rPr>
          <w:sz w:val="24"/>
          <w:szCs w:val="24"/>
        </w:rPr>
      </w:pPr>
      <w:r w:rsidRPr="00251577">
        <w:rPr>
          <w:sz w:val="24"/>
          <w:szCs w:val="24"/>
        </w:rPr>
        <w:t>DOSAZ_LIMITU</w:t>
      </w:r>
      <w:r>
        <w:rPr>
          <w:sz w:val="24"/>
          <w:szCs w:val="24"/>
        </w:rPr>
        <w:t xml:space="preserve"> - </w:t>
      </w:r>
      <w:r w:rsidRPr="00251577">
        <w:rPr>
          <w:sz w:val="24"/>
          <w:szCs w:val="24"/>
        </w:rPr>
        <w:t>§ 471 odst. 1 – dosažení limitu na hlasovacích právech osoby uvedené v § 34 odst. 1</w:t>
      </w:r>
    </w:p>
    <w:p w14:paraId="5120E73F" w14:textId="77777777" w:rsidR="00894531" w:rsidRPr="00251577" w:rsidRDefault="00894531" w:rsidP="00894531">
      <w:pPr>
        <w:pStyle w:val="Odstavecseseznamem"/>
        <w:numPr>
          <w:ilvl w:val="0"/>
          <w:numId w:val="35"/>
        </w:numPr>
        <w:jc w:val="both"/>
        <w:rPr>
          <w:sz w:val="24"/>
          <w:szCs w:val="24"/>
        </w:rPr>
      </w:pPr>
      <w:r w:rsidRPr="00251577">
        <w:rPr>
          <w:sz w:val="24"/>
          <w:szCs w:val="24"/>
        </w:rPr>
        <w:t>PREKR_LIMITU</w:t>
      </w:r>
      <w:r>
        <w:rPr>
          <w:sz w:val="24"/>
          <w:szCs w:val="24"/>
        </w:rPr>
        <w:t xml:space="preserve"> - </w:t>
      </w:r>
      <w:r w:rsidRPr="00251577">
        <w:rPr>
          <w:sz w:val="24"/>
          <w:szCs w:val="24"/>
        </w:rPr>
        <w:t>§ 471 odst. 1 – překročení limitu na hlasovacích právech osoby uvedené v § 34 odst. 1</w:t>
      </w:r>
    </w:p>
    <w:p w14:paraId="765436EC" w14:textId="23814441" w:rsidR="00894531" w:rsidRDefault="00894531" w:rsidP="00894531">
      <w:pPr>
        <w:pStyle w:val="Odstavecseseznamem"/>
        <w:numPr>
          <w:ilvl w:val="0"/>
          <w:numId w:val="35"/>
        </w:numPr>
        <w:spacing w:before="240"/>
        <w:jc w:val="both"/>
        <w:rPr>
          <w:sz w:val="24"/>
          <w:szCs w:val="24"/>
        </w:rPr>
      </w:pPr>
      <w:r w:rsidRPr="00251577">
        <w:rPr>
          <w:sz w:val="24"/>
          <w:szCs w:val="24"/>
        </w:rPr>
        <w:t>SNIZ_LIMITU</w:t>
      </w:r>
      <w:r>
        <w:rPr>
          <w:sz w:val="24"/>
          <w:szCs w:val="24"/>
        </w:rPr>
        <w:t xml:space="preserve"> -</w:t>
      </w:r>
      <w:r w:rsidRPr="00251577">
        <w:rPr>
          <w:sz w:val="24"/>
          <w:szCs w:val="24"/>
        </w:rPr>
        <w:tab/>
        <w:t>§ 471 odst. 1 – snížení limitu na hlasovacích právech osoby uvedené v § 34 odst. 1</w:t>
      </w:r>
    </w:p>
    <w:p w14:paraId="31242D08" w14:textId="77777777" w:rsidR="00894531" w:rsidRPr="00251577" w:rsidRDefault="00894531" w:rsidP="00894531">
      <w:pPr>
        <w:pStyle w:val="Odstavecseseznamem"/>
        <w:spacing w:before="240"/>
        <w:jc w:val="both"/>
        <w:rPr>
          <w:sz w:val="24"/>
          <w:szCs w:val="24"/>
        </w:rPr>
      </w:pPr>
    </w:p>
    <w:p w14:paraId="37879891" w14:textId="3A41596F" w:rsidR="004F377F" w:rsidRPr="00440115" w:rsidRDefault="004F377F" w:rsidP="004F377F">
      <w:pPr>
        <w:pStyle w:val="Odstavecseseznamem"/>
        <w:numPr>
          <w:ilvl w:val="0"/>
          <w:numId w:val="15"/>
        </w:numPr>
        <w:ind w:left="426"/>
        <w:jc w:val="both"/>
        <w:rPr>
          <w:b/>
          <w:sz w:val="24"/>
          <w:szCs w:val="24"/>
        </w:rPr>
      </w:pPr>
      <w:r w:rsidRPr="00440115">
        <w:rPr>
          <w:b/>
          <w:sz w:val="24"/>
          <w:szCs w:val="24"/>
        </w:rPr>
        <w:t>Výkaz OZN03</w:t>
      </w:r>
      <w:r w:rsidR="00440115" w:rsidRPr="00440115">
        <w:rPr>
          <w:b/>
          <w:sz w:val="24"/>
          <w:szCs w:val="24"/>
        </w:rPr>
        <w:t xml:space="preserve"> </w:t>
      </w:r>
      <w:r w:rsidR="00440115" w:rsidRPr="00440115">
        <w:rPr>
          <w:b/>
          <w:sz w:val="24"/>
          <w:szCs w:val="24"/>
        </w:rPr>
        <w:tab/>
      </w:r>
    </w:p>
    <w:p w14:paraId="5673275E" w14:textId="0BA1DFA9" w:rsidR="004F377F" w:rsidRDefault="00440115" w:rsidP="0044011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Výkaz </w:t>
      </w:r>
      <w:r w:rsidRPr="00440115">
        <w:rPr>
          <w:sz w:val="24"/>
          <w:szCs w:val="24"/>
        </w:rPr>
        <w:t>OZN03</w:t>
      </w:r>
      <w:r>
        <w:rPr>
          <w:sz w:val="24"/>
          <w:szCs w:val="24"/>
        </w:rPr>
        <w:t xml:space="preserve"> „</w:t>
      </w:r>
      <w:r w:rsidRPr="00440115">
        <w:rPr>
          <w:sz w:val="24"/>
          <w:szCs w:val="24"/>
        </w:rPr>
        <w:t>Oznámení k (pod)fondu – dokumenty ke změnám v seznamech ČNB</w:t>
      </w:r>
      <w:r>
        <w:rPr>
          <w:sz w:val="24"/>
          <w:szCs w:val="24"/>
        </w:rPr>
        <w:t>“</w:t>
      </w:r>
      <w:r w:rsidRPr="0044011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bude v metodice </w:t>
      </w:r>
      <w:r w:rsidR="001379FA">
        <w:rPr>
          <w:sz w:val="24"/>
          <w:szCs w:val="24"/>
        </w:rPr>
        <w:t>FODOK</w:t>
      </w:r>
      <w:r>
        <w:rPr>
          <w:sz w:val="24"/>
          <w:szCs w:val="24"/>
        </w:rPr>
        <w:t>20251201 ukončen.</w:t>
      </w:r>
    </w:p>
    <w:p w14:paraId="0A137AB4" w14:textId="1C1B1373" w:rsidR="00440115" w:rsidRPr="00440115" w:rsidRDefault="00440115" w:rsidP="00440115">
      <w:pPr>
        <w:pStyle w:val="Odstavecseseznamem"/>
        <w:numPr>
          <w:ilvl w:val="0"/>
          <w:numId w:val="15"/>
        </w:numPr>
        <w:ind w:left="426"/>
        <w:jc w:val="both"/>
        <w:rPr>
          <w:b/>
          <w:sz w:val="24"/>
          <w:szCs w:val="24"/>
        </w:rPr>
      </w:pPr>
      <w:r w:rsidRPr="00440115">
        <w:rPr>
          <w:b/>
          <w:sz w:val="24"/>
          <w:szCs w:val="24"/>
        </w:rPr>
        <w:t xml:space="preserve">Výkaz OZN09 </w:t>
      </w:r>
      <w:r w:rsidRPr="00440115">
        <w:rPr>
          <w:b/>
          <w:sz w:val="24"/>
          <w:szCs w:val="24"/>
        </w:rPr>
        <w:tab/>
      </w:r>
    </w:p>
    <w:p w14:paraId="285707B6" w14:textId="4600CBE9" w:rsidR="00440115" w:rsidRDefault="00440115" w:rsidP="0044011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Výkaz </w:t>
      </w:r>
      <w:r w:rsidRPr="00440115">
        <w:rPr>
          <w:sz w:val="24"/>
          <w:szCs w:val="24"/>
        </w:rPr>
        <w:t>OZN0</w:t>
      </w:r>
      <w:r>
        <w:rPr>
          <w:sz w:val="24"/>
          <w:szCs w:val="24"/>
        </w:rPr>
        <w:t>9 „</w:t>
      </w:r>
      <w:r w:rsidRPr="00440115">
        <w:rPr>
          <w:sz w:val="24"/>
          <w:szCs w:val="24"/>
        </w:rPr>
        <w:t>Oznámení k (pod)fondu – IFRS</w:t>
      </w:r>
      <w:r>
        <w:rPr>
          <w:sz w:val="24"/>
          <w:szCs w:val="24"/>
        </w:rPr>
        <w:t>“</w:t>
      </w:r>
      <w:r w:rsidRPr="00440115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bude v metodice </w:t>
      </w:r>
      <w:r w:rsidR="001379FA">
        <w:rPr>
          <w:sz w:val="24"/>
          <w:szCs w:val="24"/>
        </w:rPr>
        <w:t>FODOK</w:t>
      </w:r>
      <w:r>
        <w:rPr>
          <w:sz w:val="24"/>
          <w:szCs w:val="24"/>
        </w:rPr>
        <w:t>20251201 ukončen.</w:t>
      </w:r>
    </w:p>
    <w:p w14:paraId="279B7CE4" w14:textId="77777777" w:rsidR="00AA2CCF" w:rsidRDefault="00AA2CCF" w:rsidP="00440115">
      <w:pPr>
        <w:jc w:val="both"/>
        <w:rPr>
          <w:sz w:val="24"/>
          <w:szCs w:val="24"/>
        </w:rPr>
      </w:pPr>
    </w:p>
    <w:p w14:paraId="290F9AB4" w14:textId="7B110222" w:rsidR="00894531" w:rsidRPr="00440115" w:rsidRDefault="00894531" w:rsidP="00894531">
      <w:pPr>
        <w:pStyle w:val="Odstavecseseznamem"/>
        <w:numPr>
          <w:ilvl w:val="0"/>
          <w:numId w:val="15"/>
        </w:numPr>
        <w:ind w:left="426"/>
        <w:jc w:val="both"/>
        <w:rPr>
          <w:b/>
          <w:sz w:val="24"/>
          <w:szCs w:val="24"/>
        </w:rPr>
      </w:pPr>
      <w:r w:rsidRPr="00440115">
        <w:rPr>
          <w:b/>
          <w:sz w:val="24"/>
          <w:szCs w:val="24"/>
        </w:rPr>
        <w:lastRenderedPageBreak/>
        <w:t xml:space="preserve">Výkaz </w:t>
      </w:r>
      <w:r w:rsidRPr="00894531">
        <w:rPr>
          <w:b/>
          <w:sz w:val="24"/>
          <w:szCs w:val="24"/>
        </w:rPr>
        <w:t>FDMI01</w:t>
      </w:r>
      <w:r w:rsidRPr="00440115">
        <w:rPr>
          <w:b/>
          <w:sz w:val="24"/>
          <w:szCs w:val="24"/>
        </w:rPr>
        <w:tab/>
      </w:r>
    </w:p>
    <w:p w14:paraId="31D8A8B8" w14:textId="2C56417B" w:rsidR="00603774" w:rsidRPr="00C02D9B" w:rsidRDefault="00894531" w:rsidP="00C02D9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V metodice </w:t>
      </w:r>
      <w:r w:rsidR="001379FA">
        <w:rPr>
          <w:sz w:val="24"/>
          <w:szCs w:val="24"/>
        </w:rPr>
        <w:t>FODOK</w:t>
      </w:r>
      <w:r w:rsidR="00EA2264">
        <w:rPr>
          <w:sz w:val="24"/>
          <w:szCs w:val="24"/>
        </w:rPr>
        <w:t xml:space="preserve">20251201 nahradí zrušené výkazy </w:t>
      </w:r>
      <w:r w:rsidR="003D7F7A">
        <w:rPr>
          <w:sz w:val="24"/>
          <w:szCs w:val="24"/>
        </w:rPr>
        <w:t>v</w:t>
      </w:r>
      <w:r>
        <w:rPr>
          <w:sz w:val="24"/>
          <w:szCs w:val="24"/>
        </w:rPr>
        <w:t>ýkaz FDMI01 „</w:t>
      </w:r>
      <w:r w:rsidRPr="00894531">
        <w:rPr>
          <w:sz w:val="24"/>
          <w:szCs w:val="24"/>
        </w:rPr>
        <w:t>Mimořádná informační povinnost</w:t>
      </w:r>
      <w:r>
        <w:rPr>
          <w:sz w:val="24"/>
          <w:szCs w:val="24"/>
        </w:rPr>
        <w:t>“</w:t>
      </w:r>
      <w:r w:rsidRPr="00DA1912">
        <w:rPr>
          <w:sz w:val="24"/>
          <w:szCs w:val="24"/>
        </w:rPr>
        <w:t xml:space="preserve"> </w:t>
      </w:r>
      <w:r w:rsidRPr="00894531">
        <w:rPr>
          <w:sz w:val="24"/>
          <w:szCs w:val="24"/>
        </w:rPr>
        <w:t>viz přiložený soubor „FDMI01.xlsx“</w:t>
      </w:r>
      <w:r>
        <w:rPr>
          <w:sz w:val="24"/>
          <w:szCs w:val="24"/>
        </w:rPr>
        <w:t xml:space="preserve">. </w:t>
      </w:r>
      <w:r w:rsidR="00C02D9B" w:rsidRPr="00C02D9B">
        <w:rPr>
          <w:sz w:val="24"/>
          <w:szCs w:val="24"/>
        </w:rPr>
        <w:t>Výkaz slouží k předkládání informací a dokumentů spojených s plněním mimořádné informační povinnosti uložené dohlíženému subjektu Českou národní bankou, vyžadující mimořádné informování o vývoji v dohlíženém subjektu nebo situaci či vývoji investičního fondu, ať už v pravidelných termínech nebo ad hoc dle stanovených podmínek.</w:t>
      </w:r>
      <w:r w:rsidR="00C02D9B">
        <w:rPr>
          <w:sz w:val="24"/>
          <w:szCs w:val="24"/>
        </w:rPr>
        <w:t xml:space="preserve"> Výkaz bude</w:t>
      </w:r>
      <w:r w:rsidR="00EA2264">
        <w:rPr>
          <w:sz w:val="24"/>
          <w:szCs w:val="24"/>
        </w:rPr>
        <w:t xml:space="preserve"> mít </w:t>
      </w:r>
      <w:r w:rsidR="00DA1912">
        <w:rPr>
          <w:sz w:val="24"/>
          <w:szCs w:val="24"/>
        </w:rPr>
        <w:t>nastaven</w:t>
      </w:r>
      <w:r w:rsidR="00EA2264">
        <w:rPr>
          <w:sz w:val="24"/>
          <w:szCs w:val="24"/>
        </w:rPr>
        <w:t>ou vykazovací povinnost</w:t>
      </w:r>
      <w:r w:rsidR="00C02D9B" w:rsidRPr="00C02D9B">
        <w:rPr>
          <w:sz w:val="24"/>
          <w:szCs w:val="24"/>
        </w:rPr>
        <w:t xml:space="preserve"> ad hoc pro</w:t>
      </w:r>
      <w:r w:rsidR="00C02D9B">
        <w:rPr>
          <w:sz w:val="24"/>
          <w:szCs w:val="24"/>
        </w:rPr>
        <w:t xml:space="preserve"> </w:t>
      </w:r>
      <w:r w:rsidR="00BD3431">
        <w:rPr>
          <w:sz w:val="24"/>
          <w:szCs w:val="24"/>
        </w:rPr>
        <w:t>i</w:t>
      </w:r>
      <w:r w:rsidR="00C02D9B" w:rsidRPr="00C02D9B">
        <w:rPr>
          <w:sz w:val="24"/>
          <w:szCs w:val="24"/>
        </w:rPr>
        <w:t>nvestiční společnost</w:t>
      </w:r>
      <w:r w:rsidR="00C02D9B">
        <w:rPr>
          <w:sz w:val="24"/>
          <w:szCs w:val="24"/>
        </w:rPr>
        <w:t xml:space="preserve">i, </w:t>
      </w:r>
      <w:r w:rsidR="00BD3431">
        <w:rPr>
          <w:sz w:val="24"/>
          <w:szCs w:val="24"/>
        </w:rPr>
        <w:t>samosprávné</w:t>
      </w:r>
      <w:r w:rsidR="00BD3431" w:rsidRPr="00C02D9B">
        <w:rPr>
          <w:sz w:val="24"/>
          <w:szCs w:val="24"/>
        </w:rPr>
        <w:t xml:space="preserve"> </w:t>
      </w:r>
      <w:r w:rsidR="00C02D9B" w:rsidRPr="00C02D9B">
        <w:rPr>
          <w:sz w:val="24"/>
          <w:szCs w:val="24"/>
        </w:rPr>
        <w:t>fond</w:t>
      </w:r>
      <w:r w:rsidR="00C02D9B">
        <w:rPr>
          <w:sz w:val="24"/>
          <w:szCs w:val="24"/>
        </w:rPr>
        <w:t xml:space="preserve">y, </w:t>
      </w:r>
      <w:r w:rsidR="00BD3431">
        <w:rPr>
          <w:sz w:val="24"/>
          <w:szCs w:val="24"/>
        </w:rPr>
        <w:t xml:space="preserve">hlavního </w:t>
      </w:r>
      <w:r w:rsidR="00C02D9B" w:rsidRPr="00C02D9B">
        <w:rPr>
          <w:sz w:val="24"/>
          <w:szCs w:val="24"/>
        </w:rPr>
        <w:t>administrátor</w:t>
      </w:r>
      <w:r w:rsidR="00C02D9B">
        <w:rPr>
          <w:sz w:val="24"/>
          <w:szCs w:val="24"/>
        </w:rPr>
        <w:t xml:space="preserve">a, </w:t>
      </w:r>
      <w:r w:rsidR="00BD3431">
        <w:rPr>
          <w:sz w:val="24"/>
          <w:szCs w:val="24"/>
        </w:rPr>
        <w:t>d</w:t>
      </w:r>
      <w:r w:rsidR="00BD3431" w:rsidRPr="00C02D9B">
        <w:rPr>
          <w:sz w:val="24"/>
          <w:szCs w:val="24"/>
        </w:rPr>
        <w:t>epozitář</w:t>
      </w:r>
      <w:r w:rsidR="00BD3431">
        <w:rPr>
          <w:sz w:val="24"/>
          <w:szCs w:val="24"/>
        </w:rPr>
        <w:t>e</w:t>
      </w:r>
      <w:r w:rsidR="00C02D9B">
        <w:rPr>
          <w:sz w:val="24"/>
          <w:szCs w:val="24"/>
        </w:rPr>
        <w:t xml:space="preserve">, </w:t>
      </w:r>
      <w:r w:rsidR="00BD3431">
        <w:rPr>
          <w:sz w:val="24"/>
          <w:szCs w:val="24"/>
        </w:rPr>
        <w:t>f</w:t>
      </w:r>
      <w:r w:rsidR="00BD3431" w:rsidRPr="00C02D9B">
        <w:rPr>
          <w:sz w:val="24"/>
          <w:szCs w:val="24"/>
        </w:rPr>
        <w:t>ond</w:t>
      </w:r>
      <w:r w:rsidR="00BD3431">
        <w:rPr>
          <w:sz w:val="24"/>
          <w:szCs w:val="24"/>
        </w:rPr>
        <w:t xml:space="preserve">y </w:t>
      </w:r>
      <w:r w:rsidR="00C02D9B">
        <w:rPr>
          <w:sz w:val="24"/>
          <w:szCs w:val="24"/>
        </w:rPr>
        <w:t xml:space="preserve">a </w:t>
      </w:r>
      <w:proofErr w:type="spellStart"/>
      <w:r w:rsidR="00BD3431">
        <w:rPr>
          <w:sz w:val="24"/>
          <w:szCs w:val="24"/>
        </w:rPr>
        <w:t>p</w:t>
      </w:r>
      <w:r w:rsidR="00BD3431" w:rsidRPr="00C02D9B">
        <w:rPr>
          <w:sz w:val="24"/>
          <w:szCs w:val="24"/>
        </w:rPr>
        <w:t>odfond</w:t>
      </w:r>
      <w:r w:rsidR="00BD3431">
        <w:rPr>
          <w:sz w:val="24"/>
          <w:szCs w:val="24"/>
        </w:rPr>
        <w:t>y</w:t>
      </w:r>
      <w:proofErr w:type="spellEnd"/>
      <w:r w:rsidR="00C02D9B">
        <w:rPr>
          <w:sz w:val="24"/>
          <w:szCs w:val="24"/>
        </w:rPr>
        <w:t xml:space="preserve">. </w:t>
      </w:r>
    </w:p>
    <w:p w14:paraId="6F679D8B" w14:textId="702E0610" w:rsidR="000961A4" w:rsidRPr="00440115" w:rsidRDefault="000961A4" w:rsidP="000961A4">
      <w:pPr>
        <w:pStyle w:val="Odstavecseseznamem"/>
        <w:numPr>
          <w:ilvl w:val="0"/>
          <w:numId w:val="15"/>
        </w:numPr>
        <w:ind w:left="426"/>
        <w:jc w:val="both"/>
        <w:rPr>
          <w:b/>
          <w:sz w:val="24"/>
          <w:szCs w:val="24"/>
        </w:rPr>
      </w:pPr>
      <w:r w:rsidRPr="00440115">
        <w:rPr>
          <w:b/>
          <w:sz w:val="24"/>
          <w:szCs w:val="24"/>
        </w:rPr>
        <w:t xml:space="preserve">Výkaz </w:t>
      </w:r>
      <w:r>
        <w:rPr>
          <w:b/>
          <w:sz w:val="24"/>
          <w:szCs w:val="24"/>
        </w:rPr>
        <w:t>FDNO</w:t>
      </w:r>
      <w:r w:rsidRPr="00894531">
        <w:rPr>
          <w:b/>
          <w:sz w:val="24"/>
          <w:szCs w:val="24"/>
        </w:rPr>
        <w:t>01</w:t>
      </w:r>
      <w:r w:rsidRPr="00440115">
        <w:rPr>
          <w:b/>
          <w:sz w:val="24"/>
          <w:szCs w:val="24"/>
        </w:rPr>
        <w:tab/>
      </w:r>
    </w:p>
    <w:p w14:paraId="0B6BACAA" w14:textId="78753E44" w:rsidR="00EB57A1" w:rsidRDefault="000961A4" w:rsidP="0066143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V metodice </w:t>
      </w:r>
      <w:r w:rsidR="001379FA">
        <w:rPr>
          <w:sz w:val="24"/>
          <w:szCs w:val="24"/>
        </w:rPr>
        <w:t>FODOK</w:t>
      </w:r>
      <w:r>
        <w:rPr>
          <w:sz w:val="24"/>
          <w:szCs w:val="24"/>
        </w:rPr>
        <w:t>20251201 nahradí zrušené výkazy Výkaz FDNO01 „</w:t>
      </w:r>
      <w:r w:rsidRPr="000961A4">
        <w:rPr>
          <w:sz w:val="24"/>
          <w:szCs w:val="24"/>
        </w:rPr>
        <w:t>Nápravná opatření</w:t>
      </w:r>
      <w:r>
        <w:rPr>
          <w:sz w:val="24"/>
          <w:szCs w:val="24"/>
        </w:rPr>
        <w:t>“</w:t>
      </w:r>
      <w:r w:rsidRPr="00DA1912">
        <w:rPr>
          <w:sz w:val="24"/>
          <w:szCs w:val="24"/>
        </w:rPr>
        <w:t xml:space="preserve"> </w:t>
      </w:r>
      <w:r w:rsidRPr="00894531">
        <w:rPr>
          <w:sz w:val="24"/>
          <w:szCs w:val="24"/>
        </w:rPr>
        <w:t>viz přiložený soubor „</w:t>
      </w:r>
      <w:r>
        <w:rPr>
          <w:sz w:val="24"/>
          <w:szCs w:val="24"/>
        </w:rPr>
        <w:t>FDNO</w:t>
      </w:r>
      <w:r w:rsidRPr="00894531">
        <w:rPr>
          <w:sz w:val="24"/>
          <w:szCs w:val="24"/>
        </w:rPr>
        <w:t>01.xlsx“</w:t>
      </w:r>
      <w:r>
        <w:rPr>
          <w:sz w:val="24"/>
          <w:szCs w:val="24"/>
        </w:rPr>
        <w:t xml:space="preserve">. </w:t>
      </w:r>
      <w:r w:rsidRPr="000961A4">
        <w:rPr>
          <w:sz w:val="24"/>
          <w:szCs w:val="24"/>
        </w:rPr>
        <w:t>Výkaz slouží k předkládání informací a dokumentů spojených s plněním nápravných opatření navržených dohlíženým subjektem k odstranění nedostatků zjištěných Českou národní bankou v rámci kontroly na místě a u</w:t>
      </w:r>
      <w:r>
        <w:rPr>
          <w:sz w:val="24"/>
          <w:szCs w:val="24"/>
        </w:rPr>
        <w:t>vedených v protokolu o kontrole</w:t>
      </w:r>
      <w:r w:rsidRPr="00C02D9B">
        <w:rPr>
          <w:sz w:val="24"/>
          <w:szCs w:val="24"/>
        </w:rPr>
        <w:t>.</w:t>
      </w:r>
      <w:r>
        <w:rPr>
          <w:sz w:val="24"/>
          <w:szCs w:val="24"/>
        </w:rPr>
        <w:t xml:space="preserve"> Výkaz bude </w:t>
      </w:r>
      <w:r w:rsidR="00EA2264">
        <w:rPr>
          <w:sz w:val="24"/>
          <w:szCs w:val="24"/>
        </w:rPr>
        <w:t xml:space="preserve">mít </w:t>
      </w:r>
      <w:r>
        <w:rPr>
          <w:sz w:val="24"/>
          <w:szCs w:val="24"/>
        </w:rPr>
        <w:t>nastaven</w:t>
      </w:r>
      <w:r w:rsidR="00EA2264">
        <w:rPr>
          <w:sz w:val="24"/>
          <w:szCs w:val="24"/>
        </w:rPr>
        <w:t>ou vykazovací povinnost</w:t>
      </w:r>
      <w:r w:rsidRPr="00C02D9B">
        <w:rPr>
          <w:sz w:val="24"/>
          <w:szCs w:val="24"/>
        </w:rPr>
        <w:t xml:space="preserve"> ad hoc pro</w:t>
      </w:r>
      <w:r>
        <w:rPr>
          <w:sz w:val="24"/>
          <w:szCs w:val="24"/>
        </w:rPr>
        <w:t xml:space="preserve"> </w:t>
      </w:r>
      <w:r w:rsidR="00BD3431">
        <w:rPr>
          <w:sz w:val="24"/>
          <w:szCs w:val="24"/>
        </w:rPr>
        <w:t>i</w:t>
      </w:r>
      <w:r w:rsidR="00BD3431" w:rsidRPr="00C02D9B">
        <w:rPr>
          <w:sz w:val="24"/>
          <w:szCs w:val="24"/>
        </w:rPr>
        <w:t xml:space="preserve">nvestiční </w:t>
      </w:r>
      <w:r w:rsidRPr="00C02D9B">
        <w:rPr>
          <w:sz w:val="24"/>
          <w:szCs w:val="24"/>
        </w:rPr>
        <w:t>společnost</w:t>
      </w:r>
      <w:r>
        <w:rPr>
          <w:sz w:val="24"/>
          <w:szCs w:val="24"/>
        </w:rPr>
        <w:t xml:space="preserve">i, </w:t>
      </w:r>
      <w:r w:rsidR="00BD3431">
        <w:rPr>
          <w:sz w:val="24"/>
          <w:szCs w:val="24"/>
        </w:rPr>
        <w:t>samosprávné</w:t>
      </w:r>
      <w:r w:rsidR="00BD3431" w:rsidRPr="00C02D9B">
        <w:rPr>
          <w:sz w:val="24"/>
          <w:szCs w:val="24"/>
        </w:rPr>
        <w:t xml:space="preserve"> </w:t>
      </w:r>
      <w:r w:rsidRPr="00C02D9B">
        <w:rPr>
          <w:sz w:val="24"/>
          <w:szCs w:val="24"/>
        </w:rPr>
        <w:t>fond</w:t>
      </w:r>
      <w:r>
        <w:rPr>
          <w:sz w:val="24"/>
          <w:szCs w:val="24"/>
        </w:rPr>
        <w:t xml:space="preserve">y, </w:t>
      </w:r>
      <w:r w:rsidR="00BD3431">
        <w:rPr>
          <w:sz w:val="24"/>
          <w:szCs w:val="24"/>
        </w:rPr>
        <w:t xml:space="preserve">hlavního </w:t>
      </w:r>
      <w:r w:rsidRPr="00C02D9B">
        <w:rPr>
          <w:sz w:val="24"/>
          <w:szCs w:val="24"/>
        </w:rPr>
        <w:t>administrátor</w:t>
      </w:r>
      <w:r>
        <w:rPr>
          <w:sz w:val="24"/>
          <w:szCs w:val="24"/>
        </w:rPr>
        <w:t>a</w:t>
      </w:r>
      <w:r w:rsidR="00BD3431">
        <w:rPr>
          <w:sz w:val="24"/>
          <w:szCs w:val="24"/>
        </w:rPr>
        <w:t xml:space="preserve"> a</w:t>
      </w:r>
      <w:r>
        <w:rPr>
          <w:sz w:val="24"/>
          <w:szCs w:val="24"/>
        </w:rPr>
        <w:t xml:space="preserve"> </w:t>
      </w:r>
      <w:r w:rsidR="00BD3431">
        <w:rPr>
          <w:sz w:val="24"/>
          <w:szCs w:val="24"/>
        </w:rPr>
        <w:t>d</w:t>
      </w:r>
      <w:r w:rsidR="00BD3431" w:rsidRPr="00C02D9B">
        <w:rPr>
          <w:sz w:val="24"/>
          <w:szCs w:val="24"/>
        </w:rPr>
        <w:t>epozitář</w:t>
      </w:r>
      <w:r w:rsidR="00BD3431">
        <w:rPr>
          <w:sz w:val="24"/>
          <w:szCs w:val="24"/>
        </w:rPr>
        <w:t>e</w:t>
      </w:r>
      <w:r>
        <w:rPr>
          <w:sz w:val="24"/>
          <w:szCs w:val="24"/>
        </w:rPr>
        <w:t xml:space="preserve">. </w:t>
      </w:r>
    </w:p>
    <w:p w14:paraId="3CCBA93C" w14:textId="39051772" w:rsidR="00EB57A1" w:rsidRPr="002F0F65" w:rsidRDefault="003E150F" w:rsidP="002F0F65">
      <w:pPr>
        <w:pStyle w:val="Odstavecseseznamem"/>
        <w:numPr>
          <w:ilvl w:val="0"/>
          <w:numId w:val="15"/>
        </w:numPr>
        <w:ind w:left="426"/>
        <w:jc w:val="both"/>
        <w:rPr>
          <w:b/>
          <w:sz w:val="24"/>
          <w:szCs w:val="24"/>
        </w:rPr>
      </w:pPr>
      <w:r w:rsidRPr="002F0F65">
        <w:rPr>
          <w:b/>
          <w:sz w:val="24"/>
          <w:szCs w:val="24"/>
        </w:rPr>
        <w:t xml:space="preserve">Ostatní </w:t>
      </w:r>
      <w:r w:rsidR="00EB57A1" w:rsidRPr="002F0F65">
        <w:rPr>
          <w:b/>
          <w:sz w:val="24"/>
          <w:szCs w:val="24"/>
        </w:rPr>
        <w:t xml:space="preserve">změny v národním </w:t>
      </w:r>
      <w:r w:rsidR="00271E68" w:rsidRPr="002F0F65">
        <w:rPr>
          <w:b/>
          <w:sz w:val="24"/>
          <w:szCs w:val="24"/>
        </w:rPr>
        <w:t xml:space="preserve">dohledovém </w:t>
      </w:r>
      <w:r w:rsidR="00EB57A1" w:rsidRPr="002F0F65">
        <w:rPr>
          <w:b/>
          <w:sz w:val="24"/>
          <w:szCs w:val="24"/>
        </w:rPr>
        <w:t>výkaznictví</w:t>
      </w:r>
    </w:p>
    <w:p w14:paraId="1111808A" w14:textId="2F4AD351" w:rsidR="00501FA0" w:rsidRPr="00961057" w:rsidRDefault="00EB57A1" w:rsidP="00961057">
      <w:pPr>
        <w:pStyle w:val="Bezmezer"/>
        <w:jc w:val="both"/>
        <w:rPr>
          <w:sz w:val="24"/>
          <w:szCs w:val="24"/>
        </w:rPr>
      </w:pPr>
      <w:r w:rsidRPr="00961057">
        <w:rPr>
          <w:sz w:val="24"/>
          <w:szCs w:val="24"/>
        </w:rPr>
        <w:t>Na základě obdr</w:t>
      </w:r>
      <w:r w:rsidR="00E679FD" w:rsidRPr="00961057">
        <w:rPr>
          <w:sz w:val="24"/>
          <w:szCs w:val="24"/>
        </w:rPr>
        <w:t>žených dotazů a podnětů z trhu může</w:t>
      </w:r>
      <w:r w:rsidR="00C143B3" w:rsidRPr="00961057">
        <w:rPr>
          <w:sz w:val="24"/>
          <w:szCs w:val="24"/>
        </w:rPr>
        <w:t xml:space="preserve"> dojít</w:t>
      </w:r>
      <w:r w:rsidRPr="00961057">
        <w:rPr>
          <w:sz w:val="24"/>
          <w:szCs w:val="24"/>
        </w:rPr>
        <w:t xml:space="preserve"> k drobným úpravám popisů polí některých výkazů národního výkaznictví.</w:t>
      </w:r>
    </w:p>
    <w:p w14:paraId="77694015" w14:textId="77777777" w:rsidR="00271E68" w:rsidRPr="003656CF" w:rsidRDefault="00271E68" w:rsidP="001E0C33">
      <w:pPr>
        <w:jc w:val="both"/>
        <w:rPr>
          <w:sz w:val="24"/>
        </w:rPr>
      </w:pPr>
    </w:p>
    <w:p w14:paraId="677CE79A" w14:textId="466DAF0D" w:rsidR="007E3BA8" w:rsidRPr="00115C6B" w:rsidRDefault="00271E68" w:rsidP="00947A22">
      <w:pPr>
        <w:spacing w:line="360" w:lineRule="auto"/>
        <w:jc w:val="both"/>
        <w:rPr>
          <w:sz w:val="24"/>
          <w:szCs w:val="24"/>
        </w:rPr>
      </w:pPr>
      <w:r w:rsidRPr="00115C6B">
        <w:rPr>
          <w:b/>
          <w:sz w:val="24"/>
          <w:szCs w:val="24"/>
        </w:rPr>
        <w:t xml:space="preserve">Oblast měnové a </w:t>
      </w:r>
      <w:r w:rsidRPr="00115C6B">
        <w:rPr>
          <w:b/>
          <w:sz w:val="26"/>
          <w:szCs w:val="26"/>
        </w:rPr>
        <w:t>finanční</w:t>
      </w:r>
      <w:r w:rsidRPr="00115C6B">
        <w:rPr>
          <w:b/>
          <w:sz w:val="24"/>
          <w:szCs w:val="24"/>
        </w:rPr>
        <w:t xml:space="preserve"> statistiky</w:t>
      </w:r>
    </w:p>
    <w:p w14:paraId="2F3B04D6" w14:textId="2E6F2A3D" w:rsidR="00862984" w:rsidRDefault="00635B16" w:rsidP="00862984">
      <w:pPr>
        <w:jc w:val="both"/>
        <w:rPr>
          <w:sz w:val="24"/>
          <w:szCs w:val="24"/>
        </w:rPr>
      </w:pPr>
      <w:r w:rsidRPr="00F90B15">
        <w:rPr>
          <w:sz w:val="24"/>
          <w:szCs w:val="24"/>
        </w:rPr>
        <w:t>V oblasti investiční</w:t>
      </w:r>
      <w:r>
        <w:rPr>
          <w:sz w:val="24"/>
          <w:szCs w:val="24"/>
        </w:rPr>
        <w:t>ch</w:t>
      </w:r>
      <w:r w:rsidRPr="00F90B15">
        <w:rPr>
          <w:sz w:val="24"/>
          <w:szCs w:val="24"/>
        </w:rPr>
        <w:t xml:space="preserve"> fondů ECB </w:t>
      </w:r>
      <w:r w:rsidR="004319E1">
        <w:rPr>
          <w:sz w:val="24"/>
          <w:szCs w:val="24"/>
        </w:rPr>
        <w:t>dokončila</w:t>
      </w:r>
      <w:r w:rsidR="00862984">
        <w:rPr>
          <w:sz w:val="24"/>
          <w:szCs w:val="24"/>
        </w:rPr>
        <w:t xml:space="preserve"> revizi</w:t>
      </w:r>
      <w:r w:rsidRPr="00F90B15">
        <w:rPr>
          <w:sz w:val="24"/>
          <w:szCs w:val="24"/>
        </w:rPr>
        <w:t xml:space="preserve"> </w:t>
      </w:r>
      <w:r w:rsidR="00862984">
        <w:rPr>
          <w:sz w:val="24"/>
          <w:szCs w:val="24"/>
        </w:rPr>
        <w:t>n</w:t>
      </w:r>
      <w:r w:rsidR="00862984" w:rsidRPr="00862984">
        <w:rPr>
          <w:sz w:val="24"/>
          <w:szCs w:val="24"/>
        </w:rPr>
        <w:t>ařízení Evropské centrální banky (EU) 2024/1988 ze dne 27. června 2024 o statistice investičních fondů a o zrušení rozhodnutí (EU) 2015/32 (ECB/2014/62) (ECB/2024/17) (přepracované znění)</w:t>
      </w:r>
      <w:r w:rsidRPr="00F90B15">
        <w:rPr>
          <w:sz w:val="24"/>
          <w:szCs w:val="24"/>
        </w:rPr>
        <w:t xml:space="preserve">. </w:t>
      </w:r>
      <w:r w:rsidR="00862984">
        <w:rPr>
          <w:sz w:val="24"/>
          <w:szCs w:val="24"/>
        </w:rPr>
        <w:t>Přijetí revidovaného nařízení vyvolalo nutnost úpravy vyhlášky č. 389/2024 Sb.</w:t>
      </w:r>
      <w:r w:rsidR="00862984" w:rsidRPr="00862984">
        <w:rPr>
          <w:sz w:val="24"/>
          <w:szCs w:val="24"/>
        </w:rPr>
        <w:t>, kterou se mění vyhláška č. 314/2013 Sb., o předkládání výkazů České národní bance osobami, které náleží do sektoru finančních institucí, ve znění pozdějších předpisů. Vyhláška nab</w:t>
      </w:r>
      <w:r w:rsidR="00862984">
        <w:rPr>
          <w:sz w:val="24"/>
          <w:szCs w:val="24"/>
        </w:rPr>
        <w:t xml:space="preserve">yla </w:t>
      </w:r>
      <w:r w:rsidR="00862984" w:rsidRPr="00862984">
        <w:rPr>
          <w:sz w:val="24"/>
          <w:szCs w:val="24"/>
        </w:rPr>
        <w:t>účinnosti dnem 1. července 2025.</w:t>
      </w:r>
      <w:r w:rsidR="00862984">
        <w:rPr>
          <w:sz w:val="24"/>
          <w:szCs w:val="24"/>
        </w:rPr>
        <w:t xml:space="preserve"> </w:t>
      </w:r>
      <w:r w:rsidR="00931D39">
        <w:rPr>
          <w:sz w:val="24"/>
          <w:szCs w:val="24"/>
        </w:rPr>
        <w:t>N</w:t>
      </w:r>
      <w:r w:rsidR="00931D39" w:rsidRPr="00931D39">
        <w:rPr>
          <w:sz w:val="24"/>
          <w:szCs w:val="24"/>
        </w:rPr>
        <w:t xml:space="preserve">a internetových stránkách ČNB vytvořena </w:t>
      </w:r>
      <w:hyperlink r:id="rId9" w:history="1">
        <w:r w:rsidR="00931D39" w:rsidRPr="00931D39">
          <w:rPr>
            <w:rStyle w:val="Hypertextovodkaz"/>
            <w:sz w:val="24"/>
            <w:szCs w:val="24"/>
          </w:rPr>
          <w:t>webová podstránka</w:t>
        </w:r>
      </w:hyperlink>
      <w:r w:rsidR="00931D39" w:rsidRPr="00931D39">
        <w:rPr>
          <w:sz w:val="24"/>
          <w:szCs w:val="24"/>
        </w:rPr>
        <w:t xml:space="preserve">, na které jsou </w:t>
      </w:r>
      <w:r w:rsidR="00AD530B">
        <w:rPr>
          <w:sz w:val="24"/>
          <w:szCs w:val="24"/>
        </w:rPr>
        <w:t xml:space="preserve">průběžně </w:t>
      </w:r>
      <w:r w:rsidR="00931D39" w:rsidRPr="00931D39">
        <w:rPr>
          <w:sz w:val="24"/>
          <w:szCs w:val="24"/>
        </w:rPr>
        <w:t>zveřejňovány informace týkající se úprav ve výkaznictví investičních fondů</w:t>
      </w:r>
      <w:r w:rsidR="00AD530B">
        <w:rPr>
          <w:sz w:val="24"/>
          <w:szCs w:val="24"/>
        </w:rPr>
        <w:t>. S</w:t>
      </w:r>
      <w:r w:rsidR="00931D39">
        <w:rPr>
          <w:sz w:val="24"/>
          <w:szCs w:val="24"/>
        </w:rPr>
        <w:t xml:space="preserve">ubjekty byly </w:t>
      </w:r>
      <w:r w:rsidR="00F667A7">
        <w:rPr>
          <w:sz w:val="24"/>
          <w:szCs w:val="24"/>
        </w:rPr>
        <w:t xml:space="preserve">o změnách i vytvoření podstránky </w:t>
      </w:r>
      <w:r w:rsidR="00931D39">
        <w:rPr>
          <w:sz w:val="24"/>
          <w:szCs w:val="24"/>
        </w:rPr>
        <w:t>informovány.</w:t>
      </w:r>
    </w:p>
    <w:p w14:paraId="1E2C65AC" w14:textId="5A0681CC" w:rsidR="00931D39" w:rsidRDefault="00931D39" w:rsidP="00931D39">
      <w:pPr>
        <w:jc w:val="both"/>
        <w:rPr>
          <w:sz w:val="24"/>
          <w:szCs w:val="24"/>
        </w:rPr>
      </w:pPr>
      <w:r w:rsidRPr="00F90B15">
        <w:rPr>
          <w:sz w:val="24"/>
          <w:szCs w:val="24"/>
        </w:rPr>
        <w:t xml:space="preserve">První sběr dat podle revidovaného nařízení </w:t>
      </w:r>
      <w:r>
        <w:rPr>
          <w:sz w:val="24"/>
          <w:szCs w:val="24"/>
        </w:rPr>
        <w:t>bude</w:t>
      </w:r>
      <w:r w:rsidRPr="00F90B15">
        <w:rPr>
          <w:sz w:val="24"/>
          <w:szCs w:val="24"/>
        </w:rPr>
        <w:t xml:space="preserve"> za referenční období prosinec 2025. Změny </w:t>
      </w:r>
      <w:r>
        <w:rPr>
          <w:sz w:val="24"/>
          <w:szCs w:val="24"/>
        </w:rPr>
        <w:t>jsou</w:t>
      </w:r>
      <w:r w:rsidRPr="00F90B15">
        <w:rPr>
          <w:sz w:val="24"/>
          <w:szCs w:val="24"/>
        </w:rPr>
        <w:t xml:space="preserve"> realizovány ve sběrném informačním systému SDAT v metodice FOFI20251201</w:t>
      </w:r>
      <w:r>
        <w:rPr>
          <w:sz w:val="24"/>
          <w:szCs w:val="24"/>
        </w:rPr>
        <w:t>, kde jsou uveřejněny metodické informace k výkazům</w:t>
      </w:r>
      <w:r w:rsidRPr="00F90B15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Konkrétní změny a nové výkazy jsou </w:t>
      </w:r>
      <w:r w:rsidR="00F667A7">
        <w:rPr>
          <w:sz w:val="24"/>
          <w:szCs w:val="24"/>
        </w:rPr>
        <w:t>popsány</w:t>
      </w:r>
      <w:r>
        <w:rPr>
          <w:sz w:val="24"/>
          <w:szCs w:val="24"/>
        </w:rPr>
        <w:t xml:space="preserve"> níže:</w:t>
      </w:r>
    </w:p>
    <w:p w14:paraId="5E21DF77" w14:textId="1524A2E1" w:rsidR="00931D39" w:rsidRPr="00931D39" w:rsidRDefault="00931D39" w:rsidP="00C87099">
      <w:pPr>
        <w:pStyle w:val="Odstavecseseznamem"/>
        <w:numPr>
          <w:ilvl w:val="0"/>
          <w:numId w:val="48"/>
        </w:numPr>
        <w:rPr>
          <w:b/>
          <w:sz w:val="24"/>
          <w:szCs w:val="24"/>
        </w:rPr>
      </w:pPr>
      <w:r w:rsidRPr="00931D39">
        <w:rPr>
          <w:b/>
          <w:sz w:val="24"/>
          <w:szCs w:val="24"/>
        </w:rPr>
        <w:t>Výkaz IF (ČNB) 10-97 – KLISIFI10</w:t>
      </w:r>
    </w:p>
    <w:p w14:paraId="1AB8FD47" w14:textId="0D1305FF" w:rsidR="00931D39" w:rsidRDefault="00C87099" w:rsidP="00862984">
      <w:pPr>
        <w:jc w:val="both"/>
        <w:rPr>
          <w:sz w:val="24"/>
          <w:szCs w:val="24"/>
        </w:rPr>
      </w:pPr>
      <w:r>
        <w:rPr>
          <w:sz w:val="24"/>
          <w:szCs w:val="24"/>
        </w:rPr>
        <w:t>Jedná se o nový výkaz, který o</w:t>
      </w:r>
      <w:r w:rsidRPr="00C87099">
        <w:rPr>
          <w:sz w:val="24"/>
          <w:szCs w:val="24"/>
        </w:rPr>
        <w:t xml:space="preserve">bsahuje klasifikační údaje o investičním fondu a je předkládán při vzniku investičního fondu nebo při změně některého z </w:t>
      </w:r>
      <w:r w:rsidR="00414A79">
        <w:rPr>
          <w:sz w:val="24"/>
          <w:szCs w:val="24"/>
        </w:rPr>
        <w:t>klasifikačních</w:t>
      </w:r>
      <w:r w:rsidRPr="00C87099">
        <w:rPr>
          <w:sz w:val="24"/>
          <w:szCs w:val="24"/>
        </w:rPr>
        <w:t xml:space="preserve"> údajů.</w:t>
      </w:r>
      <w:r>
        <w:rPr>
          <w:sz w:val="24"/>
          <w:szCs w:val="24"/>
        </w:rPr>
        <w:t xml:space="preserve"> </w:t>
      </w:r>
      <w:r w:rsidRPr="00C87099">
        <w:rPr>
          <w:sz w:val="24"/>
          <w:szCs w:val="24"/>
        </w:rPr>
        <w:t xml:space="preserve">Termín předložení je </w:t>
      </w:r>
      <w:r w:rsidRPr="00C87099">
        <w:rPr>
          <w:sz w:val="24"/>
          <w:szCs w:val="24"/>
        </w:rPr>
        <w:lastRenderedPageBreak/>
        <w:t>25. kalendářní den po konci měsíce, ve kterém byl investiční fond založen nebo ve kterém došlo ke změně v klasifikaci.</w:t>
      </w:r>
      <w:r>
        <w:rPr>
          <w:sz w:val="24"/>
          <w:szCs w:val="24"/>
        </w:rPr>
        <w:t xml:space="preserve"> Výkaz má nepravidelnou vykazovací povinnost, </w:t>
      </w:r>
      <w:r w:rsidR="00414A79">
        <w:rPr>
          <w:sz w:val="24"/>
          <w:szCs w:val="24"/>
        </w:rPr>
        <w:t xml:space="preserve">při které si vykazující subjekt sám </w:t>
      </w:r>
      <w:r>
        <w:rPr>
          <w:sz w:val="24"/>
          <w:szCs w:val="24"/>
        </w:rPr>
        <w:t>vytváří výskyt v SDAT.</w:t>
      </w:r>
    </w:p>
    <w:p w14:paraId="6EA40C8F" w14:textId="00E216B2" w:rsidR="00C87099" w:rsidRPr="00C87099" w:rsidRDefault="00C87099" w:rsidP="00C87099">
      <w:pPr>
        <w:pStyle w:val="Odstavecseseznamem"/>
        <w:numPr>
          <w:ilvl w:val="0"/>
          <w:numId w:val="48"/>
        </w:numPr>
        <w:rPr>
          <w:b/>
          <w:sz w:val="24"/>
          <w:szCs w:val="24"/>
        </w:rPr>
      </w:pPr>
      <w:r w:rsidRPr="00C87099">
        <w:rPr>
          <w:b/>
          <w:sz w:val="24"/>
          <w:szCs w:val="24"/>
        </w:rPr>
        <w:t>Výkaz IF (ČNB) 10-12</w:t>
      </w:r>
      <w:r w:rsidR="00136BA1">
        <w:rPr>
          <w:b/>
          <w:sz w:val="24"/>
          <w:szCs w:val="24"/>
        </w:rPr>
        <w:t xml:space="preserve"> </w:t>
      </w:r>
      <w:r w:rsidR="00136BA1" w:rsidRPr="00931D39">
        <w:rPr>
          <w:b/>
          <w:sz w:val="24"/>
          <w:szCs w:val="24"/>
        </w:rPr>
        <w:t>–</w:t>
      </w:r>
      <w:r w:rsidR="00136BA1">
        <w:rPr>
          <w:b/>
          <w:sz w:val="24"/>
          <w:szCs w:val="24"/>
        </w:rPr>
        <w:t xml:space="preserve"> </w:t>
      </w:r>
      <w:r w:rsidRPr="00C87099">
        <w:rPr>
          <w:b/>
          <w:sz w:val="24"/>
          <w:szCs w:val="24"/>
        </w:rPr>
        <w:t>VISIFI10</w:t>
      </w:r>
    </w:p>
    <w:p w14:paraId="735902E0" w14:textId="7176D53A" w:rsidR="00C87099" w:rsidRPr="00271E68" w:rsidRDefault="00C87099" w:rsidP="0086298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Nový výkaz </w:t>
      </w:r>
      <w:r w:rsidRPr="00C87099">
        <w:rPr>
          <w:sz w:val="24"/>
          <w:szCs w:val="24"/>
        </w:rPr>
        <w:t>"Měsíční výkaz o příjmech investičního fondu a vyplacených dividendách" obsahuje údaje o příjmech z investic fondu a dividendách vyplacených akcionářům/podílníkům fondu. Ve výkaze je reportována měna dividendy. Údaje jsou uváděny v hodnotách na jednotku akcie/podílového listu.</w:t>
      </w:r>
      <w:r>
        <w:rPr>
          <w:sz w:val="24"/>
          <w:szCs w:val="24"/>
        </w:rPr>
        <w:t xml:space="preserve"> </w:t>
      </w:r>
      <w:r w:rsidRPr="00C87099">
        <w:rPr>
          <w:sz w:val="24"/>
          <w:szCs w:val="24"/>
        </w:rPr>
        <w:t>Výkaz je předkládán vždy do 25 dnů následujícího měsíce.</w:t>
      </w:r>
    </w:p>
    <w:p w14:paraId="67BFC2FC" w14:textId="274BA752" w:rsidR="00C87099" w:rsidRDefault="00C87099" w:rsidP="00C87099">
      <w:pPr>
        <w:pStyle w:val="Odstavecseseznamem"/>
        <w:numPr>
          <w:ilvl w:val="0"/>
          <w:numId w:val="48"/>
        </w:numPr>
        <w:jc w:val="both"/>
        <w:rPr>
          <w:b/>
          <w:sz w:val="24"/>
          <w:szCs w:val="24"/>
        </w:rPr>
      </w:pPr>
      <w:r w:rsidRPr="00C87099">
        <w:rPr>
          <w:b/>
          <w:sz w:val="24"/>
          <w:szCs w:val="24"/>
        </w:rPr>
        <w:t xml:space="preserve">Výkaz IF (ČNB) 20-01 </w:t>
      </w:r>
      <w:r w:rsidR="00136BA1" w:rsidRPr="00931D39">
        <w:rPr>
          <w:b/>
          <w:sz w:val="24"/>
          <w:szCs w:val="24"/>
        </w:rPr>
        <w:t>–</w:t>
      </w:r>
      <w:r w:rsidRPr="00C87099">
        <w:rPr>
          <w:b/>
          <w:sz w:val="24"/>
          <w:szCs w:val="24"/>
        </w:rPr>
        <w:t xml:space="preserve"> VISIFI20</w:t>
      </w:r>
    </w:p>
    <w:p w14:paraId="4CD5733F" w14:textId="702D2CD5" w:rsidR="00C87099" w:rsidRDefault="00C87099" w:rsidP="00C87099">
      <w:pPr>
        <w:jc w:val="both"/>
        <w:rPr>
          <w:sz w:val="24"/>
          <w:szCs w:val="24"/>
        </w:rPr>
      </w:pPr>
      <w:r>
        <w:rPr>
          <w:sz w:val="24"/>
          <w:szCs w:val="24"/>
        </w:rPr>
        <w:t>Jedná se o</w:t>
      </w:r>
      <w:r w:rsidR="00136BA1">
        <w:rPr>
          <w:sz w:val="24"/>
          <w:szCs w:val="24"/>
        </w:rPr>
        <w:t xml:space="preserve"> </w:t>
      </w:r>
      <w:r>
        <w:rPr>
          <w:sz w:val="24"/>
          <w:szCs w:val="24"/>
        </w:rPr>
        <w:t>nový r</w:t>
      </w:r>
      <w:r w:rsidRPr="00C87099">
        <w:rPr>
          <w:sz w:val="24"/>
          <w:szCs w:val="24"/>
        </w:rPr>
        <w:t>oční výkaz o úpla</w:t>
      </w:r>
      <w:r>
        <w:rPr>
          <w:sz w:val="24"/>
          <w:szCs w:val="24"/>
        </w:rPr>
        <w:t>tách investičnímu fond</w:t>
      </w:r>
      <w:r w:rsidR="004466EB">
        <w:rPr>
          <w:sz w:val="24"/>
          <w:szCs w:val="24"/>
        </w:rPr>
        <w:t>u</w:t>
      </w:r>
      <w:r>
        <w:rPr>
          <w:sz w:val="24"/>
          <w:szCs w:val="24"/>
        </w:rPr>
        <w:t xml:space="preserve">, </w:t>
      </w:r>
      <w:r w:rsidR="00F667A7">
        <w:rPr>
          <w:sz w:val="24"/>
          <w:szCs w:val="24"/>
        </w:rPr>
        <w:t>jenž</w:t>
      </w:r>
      <w:r w:rsidRPr="00C87099">
        <w:rPr>
          <w:sz w:val="24"/>
          <w:szCs w:val="24"/>
        </w:rPr>
        <w:t xml:space="preserve"> obsahuje údaje o </w:t>
      </w:r>
      <w:r>
        <w:rPr>
          <w:sz w:val="24"/>
          <w:szCs w:val="24"/>
        </w:rPr>
        <w:t>úplatách</w:t>
      </w:r>
      <w:r w:rsidRPr="00C87099">
        <w:rPr>
          <w:sz w:val="24"/>
          <w:szCs w:val="24"/>
        </w:rPr>
        <w:t>, které akcionáři/podílníci zaplatili investičnímu fondu. Výkaz je sestavován k poslednímu dni předchozího roku a předkládán do 3</w:t>
      </w:r>
      <w:r w:rsidR="000074ED">
        <w:rPr>
          <w:sz w:val="24"/>
          <w:szCs w:val="24"/>
        </w:rPr>
        <w:t>0</w:t>
      </w:r>
      <w:r w:rsidRPr="00C87099">
        <w:rPr>
          <w:sz w:val="24"/>
          <w:szCs w:val="24"/>
        </w:rPr>
        <w:t xml:space="preserve">. </w:t>
      </w:r>
      <w:r w:rsidR="000074ED">
        <w:rPr>
          <w:sz w:val="24"/>
          <w:szCs w:val="24"/>
        </w:rPr>
        <w:t>dubna</w:t>
      </w:r>
      <w:r w:rsidRPr="00C87099">
        <w:rPr>
          <w:sz w:val="24"/>
          <w:szCs w:val="24"/>
        </w:rPr>
        <w:t xml:space="preserve"> následujícího kalendářního roku.</w:t>
      </w:r>
    </w:p>
    <w:p w14:paraId="4494B696" w14:textId="288E96E8" w:rsidR="00C87099" w:rsidRPr="00136BA1" w:rsidRDefault="00C87099" w:rsidP="00C87099">
      <w:pPr>
        <w:pStyle w:val="Odstavecseseznamem"/>
        <w:numPr>
          <w:ilvl w:val="0"/>
          <w:numId w:val="48"/>
        </w:numPr>
        <w:jc w:val="both"/>
        <w:rPr>
          <w:b/>
          <w:sz w:val="24"/>
          <w:szCs w:val="24"/>
        </w:rPr>
      </w:pPr>
      <w:r w:rsidRPr="00136BA1">
        <w:rPr>
          <w:b/>
          <w:sz w:val="24"/>
          <w:szCs w:val="24"/>
        </w:rPr>
        <w:t xml:space="preserve">Výkaz FKI (ČNB) 1-12 </w:t>
      </w:r>
      <w:r w:rsidR="00136BA1" w:rsidRPr="00931D39">
        <w:rPr>
          <w:b/>
          <w:sz w:val="24"/>
          <w:szCs w:val="24"/>
        </w:rPr>
        <w:t>–</w:t>
      </w:r>
      <w:r w:rsidRPr="00136BA1">
        <w:rPr>
          <w:b/>
          <w:sz w:val="24"/>
          <w:szCs w:val="24"/>
        </w:rPr>
        <w:t xml:space="preserve"> RISIFI30</w:t>
      </w:r>
    </w:p>
    <w:p w14:paraId="43C4BF91" w14:textId="480E7C3C" w:rsidR="00B412C1" w:rsidRDefault="00414A79" w:rsidP="00635B16">
      <w:pPr>
        <w:jc w:val="both"/>
        <w:rPr>
          <w:sz w:val="24"/>
          <w:szCs w:val="24"/>
        </w:rPr>
      </w:pPr>
      <w:r>
        <w:rPr>
          <w:sz w:val="24"/>
          <w:szCs w:val="24"/>
        </w:rPr>
        <w:t>Změna výkazu měsíční bilance aktiv a pasiv investičního fondu se na straně aktiv týká přidání podpoložek nefinan</w:t>
      </w:r>
      <w:r w:rsidR="00E057C9">
        <w:rPr>
          <w:sz w:val="24"/>
          <w:szCs w:val="24"/>
        </w:rPr>
        <w:t xml:space="preserve">čních aktiv, které jsou dále </w:t>
      </w:r>
      <w:r>
        <w:rPr>
          <w:sz w:val="24"/>
          <w:szCs w:val="24"/>
        </w:rPr>
        <w:t xml:space="preserve">členěny podle typu držených nemovitostí, poskytnuté úvěry nefinančním podnikům se nově </w:t>
      </w:r>
      <w:r w:rsidR="00E057C9">
        <w:rPr>
          <w:sz w:val="24"/>
          <w:szCs w:val="24"/>
        </w:rPr>
        <w:t xml:space="preserve">dělí </w:t>
      </w:r>
      <w:r>
        <w:rPr>
          <w:sz w:val="24"/>
          <w:szCs w:val="24"/>
        </w:rPr>
        <w:t xml:space="preserve">na úvěry s pákovým efektem a ostatní. Na straně pasiv je u přijatých půjček přidána podpoložka revolvingových úvěrů a přijaté úvěry mají nově detailnější členění sektorů protistran. Jsou přidány </w:t>
      </w:r>
      <w:r w:rsidR="00F667A7">
        <w:rPr>
          <w:sz w:val="24"/>
          <w:szCs w:val="24"/>
        </w:rPr>
        <w:t xml:space="preserve">dvě </w:t>
      </w:r>
      <w:r>
        <w:rPr>
          <w:sz w:val="24"/>
          <w:szCs w:val="24"/>
        </w:rPr>
        <w:t xml:space="preserve">nové datové oblasti, které obsahují </w:t>
      </w:r>
      <w:r w:rsidR="00E057C9">
        <w:rPr>
          <w:sz w:val="24"/>
          <w:szCs w:val="24"/>
        </w:rPr>
        <w:t>data o pozicích vůči jednotlivým zemím u položek uložených vkladů, poskyt</w:t>
      </w:r>
      <w:r w:rsidR="009D06F3">
        <w:rPr>
          <w:sz w:val="24"/>
          <w:szCs w:val="24"/>
        </w:rPr>
        <w:t>nutých úvěrů a přijatých úvěrů.</w:t>
      </w:r>
    </w:p>
    <w:p w14:paraId="3014CC39" w14:textId="3B906B3F" w:rsidR="00B412C1" w:rsidRPr="00136BA1" w:rsidRDefault="00B412C1" w:rsidP="00B412C1">
      <w:pPr>
        <w:pStyle w:val="Odstavecseseznamem"/>
        <w:numPr>
          <w:ilvl w:val="0"/>
          <w:numId w:val="48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Výkaz </w:t>
      </w:r>
      <w:r w:rsidRPr="00B412C1">
        <w:rPr>
          <w:b/>
          <w:sz w:val="24"/>
          <w:szCs w:val="24"/>
        </w:rPr>
        <w:t>FKI (ČNB) 3-12</w:t>
      </w:r>
      <w:r>
        <w:rPr>
          <w:b/>
          <w:sz w:val="24"/>
          <w:szCs w:val="24"/>
        </w:rPr>
        <w:t xml:space="preserve"> </w:t>
      </w:r>
      <w:r w:rsidRPr="00931D39">
        <w:rPr>
          <w:b/>
          <w:sz w:val="24"/>
          <w:szCs w:val="24"/>
        </w:rPr>
        <w:t>–</w:t>
      </w:r>
      <w:r w:rsidRPr="00136BA1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RISIFI33</w:t>
      </w:r>
    </w:p>
    <w:p w14:paraId="4CD21832" w14:textId="2DE7DF5A" w:rsidR="00635B16" w:rsidRPr="00F90B15" w:rsidRDefault="00B412C1" w:rsidP="00635B1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Změna výkazu se týká zavedení nové datové oblasti </w:t>
      </w:r>
      <w:r w:rsidRPr="00B412C1">
        <w:rPr>
          <w:sz w:val="24"/>
          <w:szCs w:val="24"/>
        </w:rPr>
        <w:t>RIS33_13</w:t>
      </w:r>
      <w:r>
        <w:rPr>
          <w:sz w:val="24"/>
          <w:szCs w:val="24"/>
        </w:rPr>
        <w:t xml:space="preserve"> pro </w:t>
      </w:r>
      <w:r w:rsidR="00635B16" w:rsidRPr="00F90B15">
        <w:rPr>
          <w:sz w:val="24"/>
          <w:szCs w:val="24"/>
        </w:rPr>
        <w:t>sběr informací o držených cenných papírech a majetkových účast</w:t>
      </w:r>
      <w:r w:rsidR="004466EB">
        <w:rPr>
          <w:sz w:val="24"/>
          <w:szCs w:val="24"/>
        </w:rPr>
        <w:t>ech</w:t>
      </w:r>
      <w:r w:rsidR="00635B16" w:rsidRPr="00F90B15">
        <w:rPr>
          <w:sz w:val="24"/>
          <w:szCs w:val="24"/>
        </w:rPr>
        <w:t xml:space="preserve"> bez identifikátoru ISIN.</w:t>
      </w:r>
    </w:p>
    <w:p w14:paraId="238CEE6A" w14:textId="77777777" w:rsidR="00AD530B" w:rsidRPr="007479CB" w:rsidRDefault="00AD530B" w:rsidP="00A91BA1">
      <w:pPr>
        <w:jc w:val="both"/>
        <w:rPr>
          <w:sz w:val="24"/>
          <w:szCs w:val="24"/>
        </w:rPr>
      </w:pPr>
    </w:p>
    <w:p w14:paraId="7874D1B8" w14:textId="77777777" w:rsidR="00603774" w:rsidRPr="001C2BC8" w:rsidRDefault="00603774" w:rsidP="00603774">
      <w:pPr>
        <w:keepNext/>
        <w:keepLines/>
        <w:spacing w:before="120" w:line="360" w:lineRule="auto"/>
        <w:jc w:val="both"/>
        <w:outlineLvl w:val="1"/>
        <w:rPr>
          <w:rFonts w:ascii="Cambria" w:eastAsia="SimSun" w:hAnsi="Cambria" w:cs="Times New Roman"/>
          <w:b/>
          <w:bCs/>
          <w:color w:val="1F497D"/>
          <w:sz w:val="26"/>
          <w:szCs w:val="26"/>
        </w:rPr>
      </w:pPr>
      <w:r>
        <w:rPr>
          <w:rFonts w:ascii="Cambria" w:eastAsia="SimSun" w:hAnsi="Cambria" w:cs="Times New Roman"/>
          <w:b/>
          <w:bCs/>
          <w:color w:val="1F497D"/>
          <w:sz w:val="26"/>
          <w:szCs w:val="26"/>
        </w:rPr>
        <w:t>Výkaznictví související s nařízením MiCA (</w:t>
      </w:r>
      <w:proofErr w:type="spellStart"/>
      <w:r w:rsidRPr="00EC1F76">
        <w:rPr>
          <w:rFonts w:ascii="Cambria" w:eastAsia="SimSun" w:hAnsi="Cambria" w:cs="Times New Roman"/>
          <w:b/>
          <w:bCs/>
          <w:color w:val="1F497D"/>
          <w:sz w:val="26"/>
          <w:szCs w:val="26"/>
        </w:rPr>
        <w:t>Markets</w:t>
      </w:r>
      <w:proofErr w:type="spellEnd"/>
      <w:r w:rsidRPr="00EC1F76">
        <w:rPr>
          <w:rFonts w:ascii="Cambria" w:eastAsia="SimSun" w:hAnsi="Cambria" w:cs="Times New Roman"/>
          <w:b/>
          <w:bCs/>
          <w:color w:val="1F497D"/>
          <w:sz w:val="26"/>
          <w:szCs w:val="26"/>
        </w:rPr>
        <w:t xml:space="preserve"> in </w:t>
      </w:r>
      <w:proofErr w:type="spellStart"/>
      <w:r w:rsidRPr="00EC1F76">
        <w:rPr>
          <w:rFonts w:ascii="Cambria" w:eastAsia="SimSun" w:hAnsi="Cambria" w:cs="Times New Roman"/>
          <w:b/>
          <w:bCs/>
          <w:color w:val="1F497D"/>
          <w:sz w:val="26"/>
          <w:szCs w:val="26"/>
        </w:rPr>
        <w:t>Crypto</w:t>
      </w:r>
      <w:proofErr w:type="spellEnd"/>
      <w:r w:rsidRPr="00EC1F76">
        <w:rPr>
          <w:rFonts w:ascii="Cambria" w:eastAsia="SimSun" w:hAnsi="Cambria" w:cs="Times New Roman"/>
          <w:b/>
          <w:bCs/>
          <w:color w:val="1F497D"/>
          <w:sz w:val="26"/>
          <w:szCs w:val="26"/>
        </w:rPr>
        <w:t xml:space="preserve"> </w:t>
      </w:r>
      <w:proofErr w:type="spellStart"/>
      <w:r w:rsidRPr="00EC1F76">
        <w:rPr>
          <w:rFonts w:ascii="Cambria" w:eastAsia="SimSun" w:hAnsi="Cambria" w:cs="Times New Roman"/>
          <w:b/>
          <w:bCs/>
          <w:color w:val="1F497D"/>
          <w:sz w:val="26"/>
          <w:szCs w:val="26"/>
        </w:rPr>
        <w:t>Assets</w:t>
      </w:r>
      <w:proofErr w:type="spellEnd"/>
      <w:r>
        <w:rPr>
          <w:rFonts w:ascii="Cambria" w:eastAsia="SimSun" w:hAnsi="Cambria" w:cs="Times New Roman"/>
          <w:b/>
          <w:bCs/>
          <w:color w:val="1F497D"/>
          <w:sz w:val="26"/>
          <w:szCs w:val="26"/>
        </w:rPr>
        <w:t>)</w:t>
      </w:r>
    </w:p>
    <w:p w14:paraId="349E6F30" w14:textId="77777777" w:rsidR="00603774" w:rsidRDefault="00603774" w:rsidP="00603774">
      <w:pPr>
        <w:spacing w:before="120" w:line="360" w:lineRule="auto"/>
        <w:jc w:val="both"/>
        <w:rPr>
          <w:b/>
          <w:sz w:val="26"/>
          <w:szCs w:val="26"/>
        </w:rPr>
      </w:pPr>
      <w:r w:rsidRPr="002E31FD">
        <w:rPr>
          <w:b/>
          <w:sz w:val="26"/>
          <w:szCs w:val="26"/>
        </w:rPr>
        <w:t>Evropské výkaznictví</w:t>
      </w:r>
      <w:r>
        <w:rPr>
          <w:b/>
          <w:sz w:val="26"/>
          <w:szCs w:val="26"/>
        </w:rPr>
        <w:t xml:space="preserve"> </w:t>
      </w:r>
    </w:p>
    <w:p w14:paraId="3D1C5B48" w14:textId="77777777" w:rsidR="00603774" w:rsidRPr="00EC7D65" w:rsidRDefault="00603774" w:rsidP="00603774">
      <w:pPr>
        <w:jc w:val="both"/>
        <w:rPr>
          <w:b/>
          <w:sz w:val="24"/>
        </w:rPr>
      </w:pPr>
      <w:r w:rsidRPr="00EC7D65">
        <w:rPr>
          <w:b/>
          <w:sz w:val="24"/>
        </w:rPr>
        <w:t xml:space="preserve">Transakční reporting </w:t>
      </w:r>
      <w:r>
        <w:rPr>
          <w:b/>
          <w:sz w:val="24"/>
        </w:rPr>
        <w:t xml:space="preserve">dle </w:t>
      </w:r>
      <w:r w:rsidRPr="00EC7D65">
        <w:rPr>
          <w:b/>
          <w:sz w:val="24"/>
        </w:rPr>
        <w:t xml:space="preserve">MiCA </w:t>
      </w:r>
      <w:r>
        <w:rPr>
          <w:b/>
          <w:sz w:val="24"/>
        </w:rPr>
        <w:t xml:space="preserve">(pro </w:t>
      </w:r>
      <w:proofErr w:type="spellStart"/>
      <w:r>
        <w:rPr>
          <w:b/>
          <w:sz w:val="24"/>
        </w:rPr>
        <w:t>CASPs</w:t>
      </w:r>
      <w:proofErr w:type="spellEnd"/>
      <w:r>
        <w:rPr>
          <w:b/>
          <w:sz w:val="24"/>
        </w:rPr>
        <w:t>)</w:t>
      </w:r>
    </w:p>
    <w:p w14:paraId="03E6A0A4" w14:textId="77777777" w:rsidR="00603774" w:rsidRPr="00AC7FDF" w:rsidRDefault="00603774" w:rsidP="00603774">
      <w:pPr>
        <w:jc w:val="both"/>
        <w:rPr>
          <w:sz w:val="24"/>
          <w:szCs w:val="24"/>
        </w:rPr>
      </w:pPr>
      <w:r w:rsidRPr="00AC7FDF">
        <w:rPr>
          <w:sz w:val="24"/>
          <w:szCs w:val="24"/>
        </w:rPr>
        <w:t>Nařízení č. 2023/1114 o trzích kryptoaktiv (M</w:t>
      </w:r>
      <w:r>
        <w:rPr>
          <w:sz w:val="24"/>
          <w:szCs w:val="24"/>
        </w:rPr>
        <w:t>i</w:t>
      </w:r>
      <w:r w:rsidRPr="00AC7FDF">
        <w:rPr>
          <w:sz w:val="24"/>
          <w:szCs w:val="24"/>
        </w:rPr>
        <w:t>CA) zavádí, s účinností od 30. 12. 2024, ochranu trhu s kryptoaktivy před zneužíváním trhu spočívajícím v tržní manipulaci a obchodování zasvěcené osoby (</w:t>
      </w:r>
      <w:proofErr w:type="spellStart"/>
      <w:r w:rsidRPr="00AC7FDF">
        <w:rPr>
          <w:sz w:val="24"/>
          <w:szCs w:val="24"/>
        </w:rPr>
        <w:t>insider</w:t>
      </w:r>
      <w:proofErr w:type="spellEnd"/>
      <w:r w:rsidRPr="00AC7FDF">
        <w:rPr>
          <w:sz w:val="24"/>
          <w:szCs w:val="24"/>
        </w:rPr>
        <w:t xml:space="preserve"> </w:t>
      </w:r>
      <w:proofErr w:type="spellStart"/>
      <w:r w:rsidRPr="00AC7FDF">
        <w:rPr>
          <w:sz w:val="24"/>
          <w:szCs w:val="24"/>
        </w:rPr>
        <w:t>trading</w:t>
      </w:r>
      <w:proofErr w:type="spellEnd"/>
      <w:r w:rsidRPr="00AC7FDF">
        <w:rPr>
          <w:sz w:val="24"/>
          <w:szCs w:val="24"/>
        </w:rPr>
        <w:t>). Česká národní banka se stala příslušným orgánem dohledu podle zákona o digitalizaci finančního trhu. Za tímto účelem budou vyžadována dohledová data v souladu s nařízením M</w:t>
      </w:r>
      <w:r>
        <w:rPr>
          <w:sz w:val="24"/>
          <w:szCs w:val="24"/>
        </w:rPr>
        <w:t>i</w:t>
      </w:r>
      <w:r w:rsidRPr="00AC7FDF">
        <w:rPr>
          <w:sz w:val="24"/>
          <w:szCs w:val="24"/>
        </w:rPr>
        <w:t xml:space="preserve">CA, která stanoví v čl. 68 odst. 9 a v článku 76 odst. 15 povinnost </w:t>
      </w:r>
      <w:r w:rsidRPr="00AC7FDF">
        <w:rPr>
          <w:sz w:val="24"/>
          <w:szCs w:val="24"/>
        </w:rPr>
        <w:lastRenderedPageBreak/>
        <w:t>poskytovatelů služeb spojených s kryptoaktivy uchovávat záznamy o transakcích, pokynech, objednávkách a dalších službách a činnostech.</w:t>
      </w:r>
    </w:p>
    <w:p w14:paraId="41AD71FE" w14:textId="07EF2AF6" w:rsidR="00603774" w:rsidRPr="00AC7FDF" w:rsidRDefault="00603774" w:rsidP="00603774">
      <w:pPr>
        <w:jc w:val="both"/>
        <w:rPr>
          <w:sz w:val="24"/>
          <w:szCs w:val="24"/>
        </w:rPr>
      </w:pPr>
      <w:r w:rsidRPr="00AC7FDF">
        <w:rPr>
          <w:sz w:val="24"/>
          <w:szCs w:val="24"/>
        </w:rPr>
        <w:t xml:space="preserve">V současné době ještě není stanovena forma, podoba ani určeno místo sběru dat, nicméně se předpokládá, že se s největší pravděpodobností bude jednat o centralizovaný projekt ESMA, kdy by vykazující osoby zasílaly data přímo do ESMA. Rozhodnutí </w:t>
      </w:r>
      <w:r w:rsidR="00AB258A">
        <w:rPr>
          <w:sz w:val="24"/>
          <w:szCs w:val="24"/>
        </w:rPr>
        <w:t xml:space="preserve">o </w:t>
      </w:r>
      <w:r>
        <w:rPr>
          <w:sz w:val="24"/>
          <w:szCs w:val="24"/>
        </w:rPr>
        <w:t xml:space="preserve">případné centralizaci a způsobu sběru dat </w:t>
      </w:r>
      <w:r w:rsidRPr="00AC7FDF">
        <w:rPr>
          <w:sz w:val="24"/>
          <w:szCs w:val="24"/>
        </w:rPr>
        <w:t>se očekává na konci roku 2025. Následná realizace je dle harmonogramu ESMA plánována na druhou polovinu roku 2026.</w:t>
      </w:r>
    </w:p>
    <w:p w14:paraId="35FB02E1" w14:textId="77777777" w:rsidR="00603774" w:rsidRDefault="00603774" w:rsidP="00603774">
      <w:pPr>
        <w:spacing w:before="120" w:line="360" w:lineRule="auto"/>
        <w:jc w:val="both"/>
        <w:rPr>
          <w:b/>
          <w:sz w:val="26"/>
          <w:szCs w:val="26"/>
        </w:rPr>
      </w:pPr>
      <w:r w:rsidRPr="004E132F">
        <w:rPr>
          <w:sz w:val="24"/>
          <w:szCs w:val="24"/>
        </w:rPr>
        <w:t xml:space="preserve">O dalším vývoji </w:t>
      </w:r>
      <w:r>
        <w:rPr>
          <w:sz w:val="24"/>
          <w:szCs w:val="24"/>
        </w:rPr>
        <w:t>V</w:t>
      </w:r>
      <w:r w:rsidRPr="004E132F">
        <w:rPr>
          <w:sz w:val="24"/>
          <w:szCs w:val="24"/>
        </w:rPr>
        <w:t>ás budeme průběžně informovat.</w:t>
      </w:r>
    </w:p>
    <w:p w14:paraId="79AA30E6" w14:textId="77777777" w:rsidR="00603774" w:rsidRDefault="00603774" w:rsidP="00603774">
      <w:pPr>
        <w:spacing w:after="120" w:line="360" w:lineRule="auto"/>
        <w:jc w:val="both"/>
        <w:rPr>
          <w:b/>
          <w:sz w:val="26"/>
          <w:szCs w:val="26"/>
        </w:rPr>
      </w:pPr>
    </w:p>
    <w:p w14:paraId="1122EC7B" w14:textId="77777777" w:rsidR="00603774" w:rsidRPr="0092625E" w:rsidRDefault="00603774" w:rsidP="00603774">
      <w:pPr>
        <w:spacing w:after="120" w:line="360" w:lineRule="auto"/>
        <w:jc w:val="both"/>
        <w:rPr>
          <w:b/>
          <w:sz w:val="26"/>
          <w:szCs w:val="26"/>
        </w:rPr>
      </w:pPr>
      <w:r w:rsidRPr="0092625E">
        <w:rPr>
          <w:b/>
          <w:sz w:val="26"/>
          <w:szCs w:val="26"/>
        </w:rPr>
        <w:t>Národní výkaznictví</w:t>
      </w:r>
    </w:p>
    <w:p w14:paraId="03D6E728" w14:textId="77777777" w:rsidR="00603774" w:rsidRPr="00AC7FDF" w:rsidRDefault="00603774" w:rsidP="00603774">
      <w:pPr>
        <w:spacing w:before="120" w:after="120" w:line="320" w:lineRule="exact"/>
        <w:jc w:val="both"/>
        <w:rPr>
          <w:b/>
          <w:sz w:val="24"/>
        </w:rPr>
      </w:pPr>
      <w:r w:rsidRPr="00AC7FDF">
        <w:rPr>
          <w:b/>
          <w:sz w:val="24"/>
        </w:rPr>
        <w:t>Úprava výkazu CSP (ČNB) 02-04</w:t>
      </w:r>
    </w:p>
    <w:p w14:paraId="666E8D0C" w14:textId="77777777" w:rsidR="00603774" w:rsidRPr="00DE3A35" w:rsidRDefault="00603774" w:rsidP="00603774">
      <w:pPr>
        <w:spacing w:before="120" w:after="120" w:line="320" w:lineRule="exact"/>
        <w:jc w:val="both"/>
        <w:rPr>
          <w:b/>
          <w:sz w:val="24"/>
        </w:rPr>
      </w:pPr>
    </w:p>
    <w:p w14:paraId="3A25E2F2" w14:textId="77777777" w:rsidR="00603774" w:rsidRDefault="00603774" w:rsidP="00603774">
      <w:pPr>
        <w:spacing w:before="120" w:after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Za účelem sledování plnění </w:t>
      </w:r>
      <w:r w:rsidRPr="00C27A06">
        <w:rPr>
          <w:sz w:val="24"/>
          <w:szCs w:val="24"/>
        </w:rPr>
        <w:t xml:space="preserve">dohledových pravomocí </w:t>
      </w:r>
      <w:r>
        <w:rPr>
          <w:sz w:val="24"/>
          <w:szCs w:val="24"/>
        </w:rPr>
        <w:t xml:space="preserve">stanovených nařízením MiCA v čl. 67 bude v metodice KT20251201 do výkazu </w:t>
      </w:r>
      <w:r w:rsidRPr="00951323">
        <w:rPr>
          <w:sz w:val="24"/>
          <w:szCs w:val="24"/>
        </w:rPr>
        <w:t>CSPCZ02</w:t>
      </w:r>
      <w:r>
        <w:rPr>
          <w:sz w:val="24"/>
          <w:szCs w:val="24"/>
        </w:rPr>
        <w:t xml:space="preserve"> (</w:t>
      </w:r>
      <w:r w:rsidRPr="00F02E9D">
        <w:rPr>
          <w:sz w:val="24"/>
          <w:szCs w:val="24"/>
        </w:rPr>
        <w:t>CSP (ČNB) 02-04</w:t>
      </w:r>
      <w:r>
        <w:rPr>
          <w:sz w:val="24"/>
          <w:szCs w:val="24"/>
        </w:rPr>
        <w:t>) „</w:t>
      </w:r>
      <w:r w:rsidRPr="00A42475">
        <w:rPr>
          <w:sz w:val="24"/>
          <w:szCs w:val="24"/>
        </w:rPr>
        <w:t>Vybrané údaje z rozvahy, podrozvahy a výkazu zisku a ztráty</w:t>
      </w:r>
      <w:r>
        <w:rPr>
          <w:sz w:val="24"/>
          <w:szCs w:val="24"/>
        </w:rPr>
        <w:t>“ doplněna datová oblast „</w:t>
      </w:r>
      <w:r w:rsidRPr="00951323">
        <w:rPr>
          <w:sz w:val="24"/>
          <w:szCs w:val="24"/>
        </w:rPr>
        <w:t>Doplňkové informace</w:t>
      </w:r>
      <w:r>
        <w:rPr>
          <w:sz w:val="24"/>
          <w:szCs w:val="24"/>
        </w:rPr>
        <w:t xml:space="preserve">“, </w:t>
      </w:r>
      <w:r w:rsidRPr="00F77D83">
        <w:rPr>
          <w:sz w:val="24"/>
          <w:szCs w:val="24"/>
        </w:rPr>
        <w:t>viz</w:t>
      </w:r>
      <w:r>
        <w:rPr>
          <w:sz w:val="24"/>
          <w:szCs w:val="24"/>
        </w:rPr>
        <w:t xml:space="preserve"> přiložený</w:t>
      </w:r>
      <w:r w:rsidRPr="00F77D83">
        <w:rPr>
          <w:sz w:val="24"/>
          <w:szCs w:val="24"/>
        </w:rPr>
        <w:t xml:space="preserve"> soubor „</w:t>
      </w:r>
      <w:r>
        <w:rPr>
          <w:sz w:val="24"/>
          <w:szCs w:val="24"/>
        </w:rPr>
        <w:t>CSPCZ02</w:t>
      </w:r>
      <w:r w:rsidRPr="00F77D83">
        <w:rPr>
          <w:sz w:val="24"/>
          <w:szCs w:val="24"/>
        </w:rPr>
        <w:t>_</w:t>
      </w:r>
      <w:r>
        <w:rPr>
          <w:sz w:val="24"/>
          <w:szCs w:val="24"/>
        </w:rPr>
        <w:t>CSP02_4</w:t>
      </w:r>
      <w:r w:rsidRPr="00E1378A">
        <w:rPr>
          <w:sz w:val="24"/>
          <w:szCs w:val="24"/>
        </w:rPr>
        <w:t>0</w:t>
      </w:r>
      <w:r>
        <w:rPr>
          <w:sz w:val="24"/>
          <w:szCs w:val="24"/>
        </w:rPr>
        <w:t>_</w:t>
      </w:r>
      <w:r w:rsidRPr="00F77D83">
        <w:rPr>
          <w:sz w:val="24"/>
          <w:szCs w:val="24"/>
        </w:rPr>
        <w:t xml:space="preserve">úprava.xlsx“. </w:t>
      </w:r>
    </w:p>
    <w:p w14:paraId="5A8032BB" w14:textId="77777777" w:rsidR="00603774" w:rsidRPr="004E132F" w:rsidRDefault="00603774" w:rsidP="00603774">
      <w:pPr>
        <w:jc w:val="both"/>
        <w:rPr>
          <w:sz w:val="24"/>
          <w:szCs w:val="24"/>
        </w:rPr>
      </w:pPr>
    </w:p>
    <w:p w14:paraId="1ED6F39D" w14:textId="476DE101" w:rsidR="00501FA0" w:rsidRDefault="00B978E6" w:rsidP="007756FB">
      <w:pPr>
        <w:pStyle w:val="Nadpis2"/>
        <w:spacing w:before="120" w:after="240" w:line="360" w:lineRule="auto"/>
        <w:jc w:val="both"/>
        <w:rPr>
          <w:rFonts w:ascii="Cambria" w:eastAsia="SimSun" w:hAnsi="Cambria" w:cs="Times New Roman"/>
          <w:color w:val="1F497D"/>
        </w:rPr>
      </w:pPr>
      <w:r w:rsidRPr="00B978E6">
        <w:rPr>
          <w:rFonts w:ascii="Cambria" w:eastAsia="SimSun" w:hAnsi="Cambria" w:cs="Times New Roman"/>
          <w:color w:val="1F497D"/>
        </w:rPr>
        <w:t>Výkaznictví</w:t>
      </w:r>
      <w:r>
        <w:rPr>
          <w:rFonts w:ascii="Cambria" w:eastAsia="SimSun" w:hAnsi="Cambria" w:cs="Times New Roman"/>
          <w:color w:val="1F497D"/>
        </w:rPr>
        <w:t xml:space="preserve"> OCP</w:t>
      </w:r>
    </w:p>
    <w:p w14:paraId="331EEF44" w14:textId="3859E0A1" w:rsidR="00E173F7" w:rsidRDefault="00E173F7" w:rsidP="007756FB">
      <w:pPr>
        <w:spacing w:before="120" w:after="120" w:line="360" w:lineRule="auto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N</w:t>
      </w:r>
      <w:r w:rsidRPr="00E173F7">
        <w:rPr>
          <w:b/>
          <w:sz w:val="26"/>
          <w:szCs w:val="26"/>
        </w:rPr>
        <w:t>ová verze statistické klasifikace ekonom</w:t>
      </w:r>
      <w:r w:rsidR="009D06F3">
        <w:rPr>
          <w:b/>
          <w:sz w:val="26"/>
          <w:szCs w:val="26"/>
        </w:rPr>
        <w:t xml:space="preserve">ických činností NACE </w:t>
      </w:r>
      <w:proofErr w:type="spellStart"/>
      <w:r w:rsidR="009D06F3">
        <w:rPr>
          <w:b/>
          <w:sz w:val="26"/>
          <w:szCs w:val="26"/>
        </w:rPr>
        <w:t>Rev</w:t>
      </w:r>
      <w:proofErr w:type="spellEnd"/>
      <w:r w:rsidR="009D06F3">
        <w:rPr>
          <w:b/>
          <w:sz w:val="26"/>
          <w:szCs w:val="26"/>
        </w:rPr>
        <w:t>. 2.1</w:t>
      </w:r>
    </w:p>
    <w:p w14:paraId="0DB81135" w14:textId="75165A53" w:rsidR="00E173F7" w:rsidRDefault="00E173F7" w:rsidP="00E173F7">
      <w:pPr>
        <w:spacing w:before="120" w:after="120"/>
        <w:jc w:val="both"/>
        <w:rPr>
          <w:sz w:val="24"/>
          <w:szCs w:val="24"/>
        </w:rPr>
      </w:pPr>
      <w:r w:rsidRPr="00E173F7">
        <w:rPr>
          <w:sz w:val="24"/>
          <w:szCs w:val="24"/>
        </w:rPr>
        <w:t xml:space="preserve">V metodice </w:t>
      </w:r>
      <w:r>
        <w:rPr>
          <w:sz w:val="24"/>
          <w:szCs w:val="24"/>
        </w:rPr>
        <w:t>KT</w:t>
      </w:r>
      <w:r w:rsidRPr="00E173F7">
        <w:rPr>
          <w:sz w:val="24"/>
          <w:szCs w:val="24"/>
        </w:rPr>
        <w:t xml:space="preserve">20260101 </w:t>
      </w:r>
      <w:r>
        <w:rPr>
          <w:sz w:val="24"/>
          <w:szCs w:val="24"/>
        </w:rPr>
        <w:t>a MKT20260101</w:t>
      </w:r>
      <w:r w:rsidRPr="00E173F7">
        <w:rPr>
          <w:sz w:val="24"/>
          <w:szCs w:val="24"/>
        </w:rPr>
        <w:t xml:space="preserve">bude implementována nová verze statistické klasifikace ekonomických činností NACE </w:t>
      </w:r>
      <w:proofErr w:type="spellStart"/>
      <w:r w:rsidRPr="00E173F7">
        <w:rPr>
          <w:sz w:val="24"/>
          <w:szCs w:val="24"/>
        </w:rPr>
        <w:t>Rev</w:t>
      </w:r>
      <w:proofErr w:type="spellEnd"/>
      <w:r w:rsidRPr="00E173F7">
        <w:rPr>
          <w:sz w:val="24"/>
          <w:szCs w:val="24"/>
        </w:rPr>
        <w:t>. 2.1, místo současného číselníku BA0051 bude zaveden zcela nový číselník.</w:t>
      </w:r>
      <w:r>
        <w:rPr>
          <w:sz w:val="24"/>
          <w:szCs w:val="24"/>
        </w:rPr>
        <w:t xml:space="preserve"> </w:t>
      </w:r>
    </w:p>
    <w:p w14:paraId="2DE89FCB" w14:textId="6D32F997" w:rsidR="00987584" w:rsidRPr="00E173F7" w:rsidRDefault="00987584" w:rsidP="00987584">
      <w:pPr>
        <w:spacing w:before="120" w:after="120"/>
        <w:jc w:val="both"/>
        <w:rPr>
          <w:sz w:val="24"/>
          <w:szCs w:val="24"/>
        </w:rPr>
      </w:pPr>
      <w:r w:rsidRPr="00987584">
        <w:rPr>
          <w:sz w:val="24"/>
          <w:szCs w:val="24"/>
        </w:rPr>
        <w:t>V metodice KT20260101</w:t>
      </w:r>
      <w:r w:rsidR="009D06F3">
        <w:rPr>
          <w:sz w:val="24"/>
          <w:szCs w:val="24"/>
        </w:rPr>
        <w:t xml:space="preserve"> jde o výkazy:</w:t>
      </w:r>
    </w:p>
    <w:p w14:paraId="5150C06F" w14:textId="4FA2116D" w:rsidR="00987584" w:rsidRDefault="00987584" w:rsidP="00987584">
      <w:pPr>
        <w:pStyle w:val="Odstavecseseznamem"/>
        <w:numPr>
          <w:ilvl w:val="0"/>
          <w:numId w:val="40"/>
        </w:numPr>
        <w:spacing w:before="120" w:after="120"/>
        <w:jc w:val="both"/>
        <w:rPr>
          <w:sz w:val="24"/>
          <w:szCs w:val="24"/>
        </w:rPr>
      </w:pPr>
      <w:r w:rsidRPr="00987584">
        <w:rPr>
          <w:sz w:val="24"/>
          <w:szCs w:val="24"/>
        </w:rPr>
        <w:t>Výkaz DOCOS48</w:t>
      </w:r>
      <w:r w:rsidR="00833C70">
        <w:rPr>
          <w:sz w:val="24"/>
          <w:szCs w:val="24"/>
        </w:rPr>
        <w:t xml:space="preserve"> -</w:t>
      </w:r>
      <w:r w:rsidRPr="00987584">
        <w:rPr>
          <w:sz w:val="24"/>
          <w:szCs w:val="24"/>
        </w:rPr>
        <w:t xml:space="preserve"> OCP</w:t>
      </w:r>
      <w:r w:rsidR="009D06F3">
        <w:rPr>
          <w:sz w:val="24"/>
          <w:szCs w:val="24"/>
        </w:rPr>
        <w:t xml:space="preserve"> (ČNB)</w:t>
      </w:r>
      <w:r w:rsidRPr="00987584">
        <w:rPr>
          <w:sz w:val="24"/>
          <w:szCs w:val="24"/>
        </w:rPr>
        <w:t xml:space="preserve"> 48-04 „Organizační struktura a osoby s kvalifikovanou účastí“</w:t>
      </w:r>
      <w:r>
        <w:rPr>
          <w:sz w:val="24"/>
          <w:szCs w:val="24"/>
        </w:rPr>
        <w:t>.</w:t>
      </w:r>
    </w:p>
    <w:p w14:paraId="67675077" w14:textId="5204D4EE" w:rsidR="00062A7F" w:rsidRPr="00987584" w:rsidRDefault="00062A7F" w:rsidP="00062A7F">
      <w:pPr>
        <w:pStyle w:val="Odstavecseseznamem"/>
        <w:numPr>
          <w:ilvl w:val="0"/>
          <w:numId w:val="40"/>
        </w:numPr>
        <w:spacing w:before="120" w:after="120"/>
        <w:jc w:val="both"/>
        <w:rPr>
          <w:sz w:val="24"/>
          <w:szCs w:val="24"/>
        </w:rPr>
      </w:pPr>
      <w:r w:rsidRPr="00062A7F">
        <w:rPr>
          <w:sz w:val="24"/>
          <w:szCs w:val="24"/>
        </w:rPr>
        <w:t>CRFEU01</w:t>
      </w:r>
      <w:r w:rsidR="00833C70">
        <w:rPr>
          <w:sz w:val="24"/>
          <w:szCs w:val="24"/>
        </w:rPr>
        <w:t xml:space="preserve"> </w:t>
      </w:r>
      <w:r w:rsidR="002559C5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 w:rsidR="002559C5">
        <w:rPr>
          <w:sz w:val="24"/>
          <w:szCs w:val="24"/>
        </w:rPr>
        <w:t>CRF01</w:t>
      </w:r>
      <w:r w:rsidRPr="00062A7F">
        <w:rPr>
          <w:sz w:val="24"/>
          <w:szCs w:val="24"/>
        </w:rPr>
        <w:t xml:space="preserve"> (ČNB) 01-01</w:t>
      </w:r>
      <w:r>
        <w:rPr>
          <w:sz w:val="24"/>
          <w:szCs w:val="24"/>
        </w:rPr>
        <w:t xml:space="preserve"> </w:t>
      </w:r>
      <w:r w:rsidR="00833C70">
        <w:rPr>
          <w:sz w:val="24"/>
          <w:szCs w:val="24"/>
        </w:rPr>
        <w:t>„</w:t>
      </w:r>
      <w:r w:rsidRPr="00062A7F">
        <w:rPr>
          <w:sz w:val="24"/>
          <w:szCs w:val="24"/>
        </w:rPr>
        <w:t>Crowdfunding</w:t>
      </w:r>
      <w:r w:rsidR="00833C70">
        <w:rPr>
          <w:sz w:val="24"/>
          <w:szCs w:val="24"/>
        </w:rPr>
        <w:t xml:space="preserve">“. </w:t>
      </w:r>
    </w:p>
    <w:p w14:paraId="2C2E5B8A" w14:textId="055D391B" w:rsidR="00987584" w:rsidRDefault="00987584" w:rsidP="00987584">
      <w:pPr>
        <w:spacing w:before="120" w:after="120"/>
        <w:jc w:val="both"/>
        <w:rPr>
          <w:sz w:val="24"/>
          <w:szCs w:val="24"/>
        </w:rPr>
      </w:pPr>
    </w:p>
    <w:p w14:paraId="1A5FF584" w14:textId="1C43C55B" w:rsidR="00987584" w:rsidRPr="00E173F7" w:rsidRDefault="00987584" w:rsidP="00987584">
      <w:pPr>
        <w:spacing w:before="120" w:after="120"/>
        <w:jc w:val="both"/>
        <w:rPr>
          <w:sz w:val="24"/>
          <w:szCs w:val="24"/>
        </w:rPr>
      </w:pPr>
      <w:r w:rsidRPr="00987584">
        <w:rPr>
          <w:sz w:val="24"/>
          <w:szCs w:val="24"/>
        </w:rPr>
        <w:t xml:space="preserve">V metodice </w:t>
      </w:r>
      <w:r>
        <w:rPr>
          <w:sz w:val="24"/>
          <w:szCs w:val="24"/>
        </w:rPr>
        <w:t>M</w:t>
      </w:r>
      <w:r w:rsidRPr="00987584">
        <w:rPr>
          <w:sz w:val="24"/>
          <w:szCs w:val="24"/>
        </w:rPr>
        <w:t>KT20260101</w:t>
      </w:r>
      <w:r w:rsidR="009D06F3">
        <w:rPr>
          <w:sz w:val="24"/>
          <w:szCs w:val="24"/>
        </w:rPr>
        <w:t xml:space="preserve"> jde o výkazy:</w:t>
      </w:r>
    </w:p>
    <w:p w14:paraId="6334CAB8" w14:textId="481B1E88" w:rsidR="00987584" w:rsidRPr="00987584" w:rsidRDefault="00987584" w:rsidP="00987584">
      <w:pPr>
        <w:pStyle w:val="Odstavecseseznamem"/>
        <w:numPr>
          <w:ilvl w:val="0"/>
          <w:numId w:val="40"/>
        </w:numPr>
        <w:spacing w:before="120" w:after="120"/>
        <w:jc w:val="both"/>
        <w:rPr>
          <w:sz w:val="24"/>
          <w:szCs w:val="24"/>
        </w:rPr>
      </w:pPr>
      <w:r w:rsidRPr="00987584">
        <w:rPr>
          <w:sz w:val="24"/>
          <w:szCs w:val="24"/>
        </w:rPr>
        <w:t>Výkaz REFFIM10</w:t>
      </w:r>
      <w:r>
        <w:rPr>
          <w:sz w:val="24"/>
          <w:szCs w:val="24"/>
        </w:rPr>
        <w:t xml:space="preserve"> </w:t>
      </w:r>
      <w:r w:rsidR="00833C70">
        <w:rPr>
          <w:sz w:val="24"/>
          <w:szCs w:val="24"/>
        </w:rPr>
        <w:t xml:space="preserve">- </w:t>
      </w:r>
      <w:r w:rsidRPr="00987584">
        <w:rPr>
          <w:sz w:val="24"/>
          <w:szCs w:val="24"/>
        </w:rPr>
        <w:t>REF (ČNB) 10-97</w:t>
      </w:r>
      <w:r>
        <w:rPr>
          <w:sz w:val="24"/>
          <w:szCs w:val="24"/>
        </w:rPr>
        <w:t xml:space="preserve"> „</w:t>
      </w:r>
      <w:r w:rsidRPr="00987584">
        <w:rPr>
          <w:sz w:val="24"/>
          <w:szCs w:val="24"/>
        </w:rPr>
        <w:t>Informace o investičních nástrojích, kterých se týkaly pokyny, obchody a převody</w:t>
      </w:r>
      <w:r>
        <w:rPr>
          <w:sz w:val="24"/>
          <w:szCs w:val="24"/>
        </w:rPr>
        <w:t>“</w:t>
      </w:r>
      <w:r w:rsidR="00062A7F">
        <w:rPr>
          <w:sz w:val="24"/>
          <w:szCs w:val="24"/>
        </w:rPr>
        <w:t>.</w:t>
      </w:r>
    </w:p>
    <w:p w14:paraId="1AA0426C" w14:textId="2D66473D" w:rsidR="00987584" w:rsidRPr="00987584" w:rsidRDefault="00987584" w:rsidP="00987584">
      <w:pPr>
        <w:pStyle w:val="Odstavecseseznamem"/>
        <w:numPr>
          <w:ilvl w:val="0"/>
          <w:numId w:val="40"/>
        </w:numPr>
        <w:spacing w:before="120" w:after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Výkaz </w:t>
      </w:r>
      <w:r w:rsidRPr="00987584">
        <w:rPr>
          <w:sz w:val="24"/>
          <w:szCs w:val="24"/>
        </w:rPr>
        <w:t>REFFIM</w:t>
      </w:r>
      <w:r>
        <w:rPr>
          <w:sz w:val="24"/>
          <w:szCs w:val="24"/>
        </w:rPr>
        <w:t>2</w:t>
      </w:r>
      <w:r w:rsidRPr="00987584">
        <w:rPr>
          <w:sz w:val="24"/>
          <w:szCs w:val="24"/>
        </w:rPr>
        <w:t>0</w:t>
      </w:r>
      <w:r w:rsidR="00833C70">
        <w:rPr>
          <w:sz w:val="24"/>
          <w:szCs w:val="24"/>
        </w:rPr>
        <w:t xml:space="preserve"> -</w:t>
      </w:r>
      <w:r>
        <w:rPr>
          <w:sz w:val="24"/>
          <w:szCs w:val="24"/>
        </w:rPr>
        <w:t xml:space="preserve"> </w:t>
      </w:r>
      <w:r w:rsidRPr="00987584">
        <w:rPr>
          <w:sz w:val="24"/>
          <w:szCs w:val="24"/>
        </w:rPr>
        <w:t>REF (ČNB) 20-97</w:t>
      </w:r>
      <w:r>
        <w:rPr>
          <w:sz w:val="24"/>
          <w:szCs w:val="24"/>
        </w:rPr>
        <w:t xml:space="preserve"> „</w:t>
      </w:r>
      <w:r w:rsidRPr="00987584">
        <w:rPr>
          <w:sz w:val="24"/>
          <w:szCs w:val="24"/>
        </w:rPr>
        <w:t>Informace o nástrojích přijatých k</w:t>
      </w:r>
      <w:r>
        <w:rPr>
          <w:sz w:val="24"/>
          <w:szCs w:val="24"/>
        </w:rPr>
        <w:t> </w:t>
      </w:r>
      <w:r w:rsidRPr="00987584">
        <w:rPr>
          <w:sz w:val="24"/>
          <w:szCs w:val="24"/>
        </w:rPr>
        <w:t>vypořádání</w:t>
      </w:r>
      <w:r>
        <w:rPr>
          <w:sz w:val="24"/>
          <w:szCs w:val="24"/>
        </w:rPr>
        <w:t>“.</w:t>
      </w:r>
    </w:p>
    <w:p w14:paraId="77580D10" w14:textId="77777777" w:rsidR="00C27A06" w:rsidRPr="00C27A06" w:rsidRDefault="00C27A06" w:rsidP="00C27A06">
      <w:pPr>
        <w:spacing w:before="120" w:after="120"/>
        <w:jc w:val="both"/>
        <w:rPr>
          <w:sz w:val="24"/>
          <w:szCs w:val="24"/>
        </w:rPr>
      </w:pPr>
      <w:r w:rsidRPr="00C27A06">
        <w:rPr>
          <w:sz w:val="24"/>
          <w:szCs w:val="24"/>
        </w:rPr>
        <w:t xml:space="preserve">Zavedení nové verze NACE </w:t>
      </w:r>
      <w:proofErr w:type="spellStart"/>
      <w:r w:rsidRPr="00C27A06">
        <w:rPr>
          <w:sz w:val="24"/>
          <w:szCs w:val="24"/>
        </w:rPr>
        <w:t>Rev</w:t>
      </w:r>
      <w:proofErr w:type="spellEnd"/>
      <w:r w:rsidRPr="00C27A06">
        <w:rPr>
          <w:sz w:val="24"/>
          <w:szCs w:val="24"/>
        </w:rPr>
        <w:t>. 2.1 bude zavedeno do sběru dat od 1. 1. 2026.</w:t>
      </w:r>
    </w:p>
    <w:p w14:paraId="7C22ADEF" w14:textId="77777777" w:rsidR="00987584" w:rsidRPr="00E173F7" w:rsidRDefault="00987584" w:rsidP="00987584">
      <w:pPr>
        <w:spacing w:before="120" w:after="120"/>
        <w:jc w:val="both"/>
        <w:rPr>
          <w:sz w:val="24"/>
          <w:szCs w:val="24"/>
        </w:rPr>
      </w:pPr>
    </w:p>
    <w:p w14:paraId="5D633F65" w14:textId="6BAAACE7" w:rsidR="00F079A8" w:rsidRDefault="00F079A8" w:rsidP="007756FB">
      <w:pPr>
        <w:spacing w:before="120" w:after="120" w:line="360" w:lineRule="auto"/>
        <w:jc w:val="both"/>
        <w:rPr>
          <w:b/>
          <w:sz w:val="26"/>
          <w:szCs w:val="26"/>
        </w:rPr>
      </w:pPr>
      <w:r w:rsidRPr="00BD4682">
        <w:rPr>
          <w:b/>
          <w:sz w:val="26"/>
          <w:szCs w:val="26"/>
        </w:rPr>
        <w:t>Přechod na ISO CFI 2019</w:t>
      </w:r>
      <w:r w:rsidRPr="00E45F65">
        <w:rPr>
          <w:b/>
          <w:sz w:val="26"/>
          <w:szCs w:val="26"/>
        </w:rPr>
        <w:t xml:space="preserve"> </w:t>
      </w:r>
    </w:p>
    <w:p w14:paraId="4383EED1" w14:textId="6CCCA20D" w:rsidR="00F079A8" w:rsidRDefault="009E36F9" w:rsidP="00661430">
      <w:pPr>
        <w:spacing w:before="120" w:after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Připravovaný přechod </w:t>
      </w:r>
      <w:r w:rsidR="00F079A8">
        <w:rPr>
          <w:sz w:val="24"/>
          <w:szCs w:val="24"/>
        </w:rPr>
        <w:t xml:space="preserve">ESMA </w:t>
      </w:r>
      <w:r w:rsidR="00F079A8" w:rsidRPr="00162F20">
        <w:rPr>
          <w:sz w:val="24"/>
          <w:szCs w:val="24"/>
        </w:rPr>
        <w:t>na</w:t>
      </w:r>
      <w:r w:rsidR="00AC40F4">
        <w:rPr>
          <w:sz w:val="24"/>
          <w:szCs w:val="24"/>
        </w:rPr>
        <w:t xml:space="preserve"> </w:t>
      </w:r>
      <w:r w:rsidR="00F079A8" w:rsidRPr="00162F20">
        <w:rPr>
          <w:sz w:val="24"/>
          <w:szCs w:val="24"/>
        </w:rPr>
        <w:t xml:space="preserve">„CFI 2019“, který bude </w:t>
      </w:r>
      <w:r w:rsidR="006976B8">
        <w:rPr>
          <w:sz w:val="24"/>
          <w:szCs w:val="24"/>
        </w:rPr>
        <w:t xml:space="preserve">reflektovat </w:t>
      </w:r>
      <w:r w:rsidR="00F079A8" w:rsidRPr="00162F20">
        <w:rPr>
          <w:sz w:val="24"/>
          <w:szCs w:val="24"/>
        </w:rPr>
        <w:t>změny</w:t>
      </w:r>
      <w:r w:rsidR="006976B8">
        <w:rPr>
          <w:sz w:val="24"/>
          <w:szCs w:val="24"/>
        </w:rPr>
        <w:t>/doplnění</w:t>
      </w:r>
      <w:r w:rsidR="00F079A8" w:rsidRPr="00162F20">
        <w:rPr>
          <w:sz w:val="24"/>
          <w:szCs w:val="24"/>
        </w:rPr>
        <w:t xml:space="preserve"> zahrnuté v revizích z roku 2019 a 2021</w:t>
      </w:r>
      <w:r w:rsidR="004212D8">
        <w:rPr>
          <w:sz w:val="24"/>
          <w:szCs w:val="24"/>
        </w:rPr>
        <w:t>,</w:t>
      </w:r>
      <w:r>
        <w:rPr>
          <w:sz w:val="24"/>
          <w:szCs w:val="24"/>
        </w:rPr>
        <w:t xml:space="preserve"> je plánován na 2. polovinu roku 2025</w:t>
      </w:r>
      <w:r w:rsidR="00F079A8" w:rsidRPr="00162F20">
        <w:rPr>
          <w:sz w:val="24"/>
          <w:szCs w:val="24"/>
        </w:rPr>
        <w:t xml:space="preserve">. </w:t>
      </w:r>
      <w:r w:rsidR="00F079A8">
        <w:rPr>
          <w:sz w:val="24"/>
          <w:szCs w:val="24"/>
        </w:rPr>
        <w:t xml:space="preserve">O </w:t>
      </w:r>
      <w:r>
        <w:rPr>
          <w:sz w:val="24"/>
          <w:szCs w:val="24"/>
        </w:rPr>
        <w:t xml:space="preserve">přesném </w:t>
      </w:r>
      <w:r w:rsidR="00F079A8">
        <w:rPr>
          <w:sz w:val="24"/>
          <w:szCs w:val="24"/>
        </w:rPr>
        <w:t>načasování</w:t>
      </w:r>
      <w:r w:rsidR="00AC40F4">
        <w:rPr>
          <w:sz w:val="24"/>
          <w:szCs w:val="24"/>
        </w:rPr>
        <w:t xml:space="preserve"> </w:t>
      </w:r>
      <w:r w:rsidR="00F079A8">
        <w:rPr>
          <w:sz w:val="24"/>
          <w:szCs w:val="24"/>
        </w:rPr>
        <w:t xml:space="preserve">přechodu </w:t>
      </w:r>
      <w:r>
        <w:rPr>
          <w:sz w:val="24"/>
          <w:szCs w:val="24"/>
        </w:rPr>
        <w:t xml:space="preserve">či případných změnách </w:t>
      </w:r>
      <w:r w:rsidR="00623685">
        <w:rPr>
          <w:sz w:val="24"/>
          <w:szCs w:val="24"/>
        </w:rPr>
        <w:t xml:space="preserve">na straně </w:t>
      </w:r>
      <w:r w:rsidR="00F079A8">
        <w:rPr>
          <w:sz w:val="24"/>
          <w:szCs w:val="24"/>
        </w:rPr>
        <w:t xml:space="preserve">ESMA vás budeme </w:t>
      </w:r>
      <w:r>
        <w:rPr>
          <w:sz w:val="24"/>
          <w:szCs w:val="24"/>
        </w:rPr>
        <w:t>i</w:t>
      </w:r>
      <w:r w:rsidR="00F079A8">
        <w:rPr>
          <w:sz w:val="24"/>
          <w:szCs w:val="24"/>
        </w:rPr>
        <w:t xml:space="preserve">nformovat. </w:t>
      </w:r>
    </w:p>
    <w:p w14:paraId="5FEB7AE9" w14:textId="4B660F4A" w:rsidR="00F079A8" w:rsidRPr="00B46EDA" w:rsidRDefault="00F079A8" w:rsidP="00EB07B4">
      <w:pPr>
        <w:spacing w:after="0"/>
        <w:jc w:val="both"/>
        <w:rPr>
          <w:b/>
        </w:rPr>
      </w:pPr>
      <w:r>
        <w:rPr>
          <w:sz w:val="24"/>
          <w:szCs w:val="24"/>
        </w:rPr>
        <w:t>Tato úprava se nedotkne struktury výkazů. Dojde</w:t>
      </w:r>
      <w:r w:rsidR="00320CC6">
        <w:rPr>
          <w:sz w:val="24"/>
          <w:szCs w:val="24"/>
        </w:rPr>
        <w:t xml:space="preserve"> pouze </w:t>
      </w:r>
      <w:r>
        <w:rPr>
          <w:sz w:val="24"/>
          <w:szCs w:val="24"/>
        </w:rPr>
        <w:t>k</w:t>
      </w:r>
      <w:r w:rsidR="00320CC6">
        <w:rPr>
          <w:sz w:val="24"/>
          <w:szCs w:val="24"/>
        </w:rPr>
        <w:t xml:space="preserve"> doplnění </w:t>
      </w:r>
      <w:r w:rsidR="006976B8">
        <w:rPr>
          <w:sz w:val="24"/>
          <w:szCs w:val="24"/>
        </w:rPr>
        <w:t>číseln</w:t>
      </w:r>
      <w:r w:rsidR="009D06F3">
        <w:rPr>
          <w:sz w:val="24"/>
          <w:szCs w:val="24"/>
        </w:rPr>
        <w:t>íku.</w:t>
      </w:r>
    </w:p>
    <w:p w14:paraId="07072427" w14:textId="77777777" w:rsidR="009E36F9" w:rsidRDefault="009E36F9" w:rsidP="009E36F9">
      <w:pPr>
        <w:rPr>
          <w:rFonts w:ascii="Calibri" w:hAnsi="Calibri" w:cs="Calibri"/>
          <w:color w:val="1F497D"/>
        </w:rPr>
      </w:pPr>
    </w:p>
    <w:p w14:paraId="4FD02666" w14:textId="44E2AA8B" w:rsidR="009E36F9" w:rsidRDefault="009E36F9" w:rsidP="009E36F9">
      <w:pPr>
        <w:rPr>
          <w:rFonts w:ascii="Calibri" w:hAnsi="Calibri" w:cs="Calibri"/>
          <w:color w:val="1F497D"/>
        </w:rPr>
      </w:pPr>
      <w:r w:rsidRPr="009E36F9">
        <w:rPr>
          <w:sz w:val="24"/>
          <w:szCs w:val="24"/>
        </w:rPr>
        <w:t>Dle proved</w:t>
      </w:r>
      <w:r w:rsidR="008E712B">
        <w:rPr>
          <w:sz w:val="24"/>
          <w:szCs w:val="24"/>
        </w:rPr>
        <w:t>e</w:t>
      </w:r>
      <w:r w:rsidRPr="009E36F9">
        <w:rPr>
          <w:sz w:val="24"/>
          <w:szCs w:val="24"/>
        </w:rPr>
        <w:t xml:space="preserve">né analýzy ESMA by se mělo jednat o </w:t>
      </w:r>
      <w:r w:rsidR="008E712B">
        <w:rPr>
          <w:sz w:val="24"/>
          <w:szCs w:val="24"/>
        </w:rPr>
        <w:t>přidání těchto tří CFI kódů</w:t>
      </w:r>
      <w:r w:rsidRPr="009E36F9">
        <w:rPr>
          <w:sz w:val="24"/>
          <w:szCs w:val="24"/>
        </w:rPr>
        <w:t>:</w:t>
      </w:r>
    </w:p>
    <w:tbl>
      <w:tblPr>
        <w:tblW w:w="92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20"/>
        <w:gridCol w:w="3360"/>
        <w:gridCol w:w="860"/>
      </w:tblGrid>
      <w:tr w:rsidR="009E36F9" w:rsidRPr="009E36F9" w14:paraId="31CC715E" w14:textId="77777777" w:rsidTr="009E36F9">
        <w:trPr>
          <w:trHeight w:val="300"/>
        </w:trPr>
        <w:tc>
          <w:tcPr>
            <w:tcW w:w="5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EDBB71D" w14:textId="77777777" w:rsidR="009E36F9" w:rsidRPr="009E36F9" w:rsidRDefault="009E36F9" w:rsidP="009E36F9">
            <w:pPr>
              <w:spacing w:after="0" w:line="240" w:lineRule="auto"/>
              <w:rPr>
                <w:rFonts w:ascii="Verdana" w:eastAsia="Times New Roman" w:hAnsi="Verdana" w:cs="Calibri"/>
                <w:sz w:val="20"/>
                <w:szCs w:val="20"/>
                <w:lang w:eastAsia="cs-CZ"/>
              </w:rPr>
            </w:pPr>
            <w:proofErr w:type="spellStart"/>
            <w:r w:rsidRPr="009E36F9">
              <w:rPr>
                <w:rFonts w:ascii="Verdana" w:eastAsia="Times New Roman" w:hAnsi="Verdana" w:cs="Calibri"/>
                <w:sz w:val="20"/>
                <w:szCs w:val="20"/>
                <w:lang w:eastAsia="cs-CZ"/>
              </w:rPr>
              <w:t>Forwards</w:t>
            </w:r>
            <w:proofErr w:type="spellEnd"/>
            <w:r w:rsidRPr="009E36F9">
              <w:rPr>
                <w:rFonts w:ascii="Verdana" w:eastAsia="Times New Roman" w:hAnsi="Verdana" w:cs="Calibri"/>
                <w:sz w:val="20"/>
                <w:szCs w:val="20"/>
                <w:lang w:eastAsia="cs-CZ"/>
              </w:rPr>
              <w:t xml:space="preserve"> (NEW CODE 2019 - 2021 ISO)</w:t>
            </w:r>
          </w:p>
        </w:tc>
        <w:tc>
          <w:tcPr>
            <w:tcW w:w="33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0C9F97" w14:textId="77777777" w:rsidR="009E36F9" w:rsidRPr="009E36F9" w:rsidRDefault="009E36F9" w:rsidP="009E36F9">
            <w:pPr>
              <w:spacing w:after="0" w:line="240" w:lineRule="auto"/>
              <w:rPr>
                <w:rFonts w:ascii="Verdana" w:eastAsia="Times New Roman" w:hAnsi="Verdana" w:cs="Calibri"/>
                <w:sz w:val="20"/>
                <w:szCs w:val="20"/>
                <w:lang w:eastAsia="cs-CZ"/>
              </w:rPr>
            </w:pPr>
            <w:r w:rsidRPr="009E36F9">
              <w:rPr>
                <w:rFonts w:ascii="Verdana" w:eastAsia="Times New Roman" w:hAnsi="Verdana" w:cs="Calibri"/>
                <w:sz w:val="20"/>
                <w:szCs w:val="20"/>
                <w:lang w:eastAsia="cs-CZ"/>
              </w:rPr>
              <w:t xml:space="preserve">C- </w:t>
            </w:r>
            <w:proofErr w:type="spellStart"/>
            <w:r w:rsidRPr="009E36F9">
              <w:rPr>
                <w:rFonts w:ascii="Verdana" w:eastAsia="Times New Roman" w:hAnsi="Verdana" w:cs="Calibri"/>
                <w:sz w:val="20"/>
                <w:szCs w:val="20"/>
                <w:lang w:eastAsia="cs-CZ"/>
              </w:rPr>
              <w:t>Credit</w:t>
            </w:r>
            <w:proofErr w:type="spellEnd"/>
            <w:r w:rsidRPr="009E36F9">
              <w:rPr>
                <w:rFonts w:ascii="Verdana" w:eastAsia="Times New Roman" w:hAnsi="Verdana" w:cs="Calibri"/>
                <w:sz w:val="20"/>
                <w:szCs w:val="20"/>
                <w:lang w:eastAsia="cs-CZ"/>
              </w:rPr>
              <w:t xml:space="preserve"> - CFD</w:t>
            </w:r>
          </w:p>
        </w:tc>
        <w:tc>
          <w:tcPr>
            <w:tcW w:w="8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532559" w14:textId="77777777" w:rsidR="009E36F9" w:rsidRPr="009E36F9" w:rsidRDefault="009E36F9" w:rsidP="009E36F9">
            <w:pPr>
              <w:spacing w:after="0" w:line="240" w:lineRule="auto"/>
              <w:rPr>
                <w:rFonts w:ascii="Courier" w:eastAsia="Times New Roman" w:hAnsi="Courier" w:cs="Calibri"/>
                <w:sz w:val="20"/>
                <w:szCs w:val="20"/>
                <w:lang w:eastAsia="cs-CZ"/>
              </w:rPr>
            </w:pPr>
            <w:r w:rsidRPr="009E36F9">
              <w:rPr>
                <w:rFonts w:ascii="Courier" w:eastAsia="Times New Roman" w:hAnsi="Courier" w:cs="Calibri"/>
                <w:sz w:val="20"/>
                <w:szCs w:val="20"/>
                <w:lang w:eastAsia="cs-CZ"/>
              </w:rPr>
              <w:t>JC**C*</w:t>
            </w:r>
          </w:p>
        </w:tc>
      </w:tr>
      <w:tr w:rsidR="009E36F9" w:rsidRPr="009E36F9" w14:paraId="73E3DA33" w14:textId="77777777" w:rsidTr="009E36F9">
        <w:trPr>
          <w:trHeight w:val="300"/>
        </w:trPr>
        <w:tc>
          <w:tcPr>
            <w:tcW w:w="5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25F92B" w14:textId="77777777" w:rsidR="009E36F9" w:rsidRPr="009E36F9" w:rsidRDefault="009E36F9" w:rsidP="009E36F9">
            <w:pPr>
              <w:spacing w:after="0" w:line="240" w:lineRule="auto"/>
              <w:rPr>
                <w:rFonts w:ascii="Verdana" w:eastAsia="Times New Roman" w:hAnsi="Verdana" w:cs="Calibri"/>
                <w:sz w:val="20"/>
                <w:szCs w:val="20"/>
                <w:lang w:eastAsia="cs-CZ"/>
              </w:rPr>
            </w:pPr>
            <w:proofErr w:type="spellStart"/>
            <w:r w:rsidRPr="009E36F9">
              <w:rPr>
                <w:rFonts w:ascii="Verdana" w:eastAsia="Times New Roman" w:hAnsi="Verdana" w:cs="Calibri"/>
                <w:sz w:val="20"/>
                <w:szCs w:val="20"/>
                <w:lang w:eastAsia="cs-CZ"/>
              </w:rPr>
              <w:t>Forwards</w:t>
            </w:r>
            <w:proofErr w:type="spellEnd"/>
            <w:r w:rsidRPr="009E36F9">
              <w:rPr>
                <w:rFonts w:ascii="Verdana" w:eastAsia="Times New Roman" w:hAnsi="Verdana" w:cs="Calibri"/>
                <w:sz w:val="20"/>
                <w:szCs w:val="20"/>
                <w:lang w:eastAsia="cs-CZ"/>
              </w:rPr>
              <w:t xml:space="preserve"> (NEW CODE 2019-2021 ISO)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D4AE2D" w14:textId="77777777" w:rsidR="009E36F9" w:rsidRPr="009E36F9" w:rsidRDefault="009E36F9" w:rsidP="009E36F9">
            <w:pPr>
              <w:spacing w:after="0" w:line="240" w:lineRule="auto"/>
              <w:rPr>
                <w:rFonts w:ascii="Verdana" w:eastAsia="Times New Roman" w:hAnsi="Verdana" w:cs="Calibri"/>
                <w:sz w:val="20"/>
                <w:szCs w:val="20"/>
                <w:lang w:eastAsia="cs-CZ"/>
              </w:rPr>
            </w:pPr>
            <w:r w:rsidRPr="009E36F9">
              <w:rPr>
                <w:rFonts w:ascii="Verdana" w:eastAsia="Times New Roman" w:hAnsi="Verdana" w:cs="Calibri"/>
                <w:sz w:val="20"/>
                <w:szCs w:val="20"/>
                <w:lang w:eastAsia="cs-CZ"/>
              </w:rPr>
              <w:t xml:space="preserve">R </w:t>
            </w:r>
            <w:proofErr w:type="spellStart"/>
            <w:r w:rsidRPr="009E36F9">
              <w:rPr>
                <w:rFonts w:ascii="Verdana" w:eastAsia="Times New Roman" w:hAnsi="Verdana" w:cs="Calibri"/>
                <w:sz w:val="20"/>
                <w:szCs w:val="20"/>
                <w:lang w:eastAsia="cs-CZ"/>
              </w:rPr>
              <w:t>Rates</w:t>
            </w:r>
            <w:proofErr w:type="spellEnd"/>
            <w:r w:rsidRPr="009E36F9">
              <w:rPr>
                <w:rFonts w:ascii="Verdana" w:eastAsia="Times New Roman" w:hAnsi="Verdana" w:cs="Calibri"/>
                <w:sz w:val="20"/>
                <w:szCs w:val="20"/>
                <w:lang w:eastAsia="cs-CZ"/>
              </w:rPr>
              <w:t xml:space="preserve"> - CFD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2AE018" w14:textId="77777777" w:rsidR="009E36F9" w:rsidRPr="009E36F9" w:rsidRDefault="009E36F9" w:rsidP="009E36F9">
            <w:pPr>
              <w:spacing w:after="0" w:line="240" w:lineRule="auto"/>
              <w:rPr>
                <w:rFonts w:ascii="Courier" w:eastAsia="Times New Roman" w:hAnsi="Courier" w:cs="Calibri"/>
                <w:sz w:val="20"/>
                <w:szCs w:val="20"/>
                <w:lang w:eastAsia="cs-CZ"/>
              </w:rPr>
            </w:pPr>
            <w:r w:rsidRPr="009E36F9">
              <w:rPr>
                <w:rFonts w:ascii="Courier" w:eastAsia="Times New Roman" w:hAnsi="Courier" w:cs="Calibri"/>
                <w:sz w:val="20"/>
                <w:szCs w:val="20"/>
                <w:lang w:eastAsia="cs-CZ"/>
              </w:rPr>
              <w:t>JR**C*</w:t>
            </w:r>
          </w:p>
        </w:tc>
      </w:tr>
      <w:tr w:rsidR="009E36F9" w:rsidRPr="009E36F9" w14:paraId="0C808E16" w14:textId="77777777" w:rsidTr="009E36F9">
        <w:trPr>
          <w:trHeight w:val="300"/>
        </w:trPr>
        <w:tc>
          <w:tcPr>
            <w:tcW w:w="5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36BC6F" w14:textId="77777777" w:rsidR="009E36F9" w:rsidRPr="009E36F9" w:rsidRDefault="009E36F9" w:rsidP="009E36F9">
            <w:pPr>
              <w:spacing w:after="0" w:line="240" w:lineRule="auto"/>
              <w:rPr>
                <w:rFonts w:ascii="Verdana" w:eastAsia="Times New Roman" w:hAnsi="Verdana" w:cs="Calibri"/>
                <w:sz w:val="20"/>
                <w:szCs w:val="20"/>
                <w:lang w:eastAsia="cs-CZ"/>
              </w:rPr>
            </w:pPr>
            <w:proofErr w:type="spellStart"/>
            <w:r w:rsidRPr="009E36F9">
              <w:rPr>
                <w:rFonts w:ascii="Verdana" w:eastAsia="Times New Roman" w:hAnsi="Verdana" w:cs="Calibri"/>
                <w:sz w:val="20"/>
                <w:szCs w:val="20"/>
                <w:lang w:eastAsia="cs-CZ"/>
              </w:rPr>
              <w:t>Forwards</w:t>
            </w:r>
            <w:proofErr w:type="spellEnd"/>
            <w:r w:rsidRPr="009E36F9">
              <w:rPr>
                <w:rFonts w:ascii="Verdana" w:eastAsia="Times New Roman" w:hAnsi="Verdana" w:cs="Calibri"/>
                <w:sz w:val="20"/>
                <w:szCs w:val="20"/>
                <w:lang w:eastAsia="cs-CZ"/>
              </w:rPr>
              <w:t xml:space="preserve"> (NEW CODE 2019-2021 ISO)</w:t>
            </w:r>
          </w:p>
        </w:tc>
        <w:tc>
          <w:tcPr>
            <w:tcW w:w="3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E7A2FF" w14:textId="575C4E72" w:rsidR="009E36F9" w:rsidRPr="009E36F9" w:rsidRDefault="009D06F3" w:rsidP="009E36F9">
            <w:pPr>
              <w:spacing w:after="0" w:line="240" w:lineRule="auto"/>
              <w:rPr>
                <w:rFonts w:ascii="Verdana" w:eastAsia="Times New Roman" w:hAnsi="Verdana" w:cs="Calibri"/>
                <w:sz w:val="20"/>
                <w:szCs w:val="20"/>
                <w:lang w:eastAsia="cs-CZ"/>
              </w:rPr>
            </w:pPr>
            <w:r>
              <w:rPr>
                <w:rFonts w:ascii="Verdana" w:eastAsia="Times New Roman" w:hAnsi="Verdana" w:cs="Calibri"/>
                <w:sz w:val="20"/>
                <w:szCs w:val="20"/>
                <w:lang w:eastAsia="cs-CZ"/>
              </w:rPr>
              <w:t xml:space="preserve">T- </w:t>
            </w:r>
            <w:proofErr w:type="spellStart"/>
            <w:r>
              <w:rPr>
                <w:rFonts w:ascii="Verdana" w:eastAsia="Times New Roman" w:hAnsi="Verdana" w:cs="Calibri"/>
                <w:sz w:val="20"/>
                <w:szCs w:val="20"/>
                <w:lang w:eastAsia="cs-CZ"/>
              </w:rPr>
              <w:t>commodities</w:t>
            </w:r>
            <w:proofErr w:type="spellEnd"/>
            <w:r>
              <w:rPr>
                <w:rFonts w:ascii="Verdana" w:eastAsia="Times New Roman" w:hAnsi="Verdana" w:cs="Calibri"/>
                <w:sz w:val="20"/>
                <w:szCs w:val="20"/>
                <w:lang w:eastAsia="cs-CZ"/>
              </w:rPr>
              <w:t xml:space="preserve"> </w:t>
            </w:r>
            <w:r w:rsidR="009E36F9" w:rsidRPr="009E36F9">
              <w:rPr>
                <w:rFonts w:ascii="Verdana" w:eastAsia="Times New Roman" w:hAnsi="Verdana" w:cs="Calibri"/>
                <w:sz w:val="20"/>
                <w:szCs w:val="20"/>
                <w:lang w:eastAsia="cs-CZ"/>
              </w:rPr>
              <w:t xml:space="preserve">- </w:t>
            </w:r>
            <w:proofErr w:type="spellStart"/>
            <w:r w:rsidR="009E36F9" w:rsidRPr="009E36F9">
              <w:rPr>
                <w:rFonts w:ascii="Verdana" w:eastAsia="Times New Roman" w:hAnsi="Verdana" w:cs="Calibri"/>
                <w:sz w:val="20"/>
                <w:szCs w:val="20"/>
                <w:lang w:eastAsia="cs-CZ"/>
              </w:rPr>
              <w:t>Spreadbet</w:t>
            </w:r>
            <w:proofErr w:type="spellEnd"/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650514" w14:textId="77777777" w:rsidR="009E36F9" w:rsidRPr="009E36F9" w:rsidRDefault="009E36F9" w:rsidP="009E36F9">
            <w:pPr>
              <w:spacing w:after="0" w:line="240" w:lineRule="auto"/>
              <w:rPr>
                <w:rFonts w:ascii="Courier" w:eastAsia="Times New Roman" w:hAnsi="Courier" w:cs="Calibri"/>
                <w:sz w:val="20"/>
                <w:szCs w:val="20"/>
                <w:lang w:eastAsia="cs-CZ"/>
              </w:rPr>
            </w:pPr>
            <w:r w:rsidRPr="009E36F9">
              <w:rPr>
                <w:rFonts w:ascii="Courier" w:eastAsia="Times New Roman" w:hAnsi="Courier" w:cs="Calibri"/>
                <w:sz w:val="20"/>
                <w:szCs w:val="20"/>
                <w:lang w:eastAsia="cs-CZ"/>
              </w:rPr>
              <w:t>JT**S*</w:t>
            </w:r>
          </w:p>
        </w:tc>
      </w:tr>
    </w:tbl>
    <w:p w14:paraId="46C305BD" w14:textId="77777777" w:rsidR="00BF5345" w:rsidRDefault="00BF5345" w:rsidP="007756FB">
      <w:pPr>
        <w:spacing w:before="120" w:after="120" w:line="360" w:lineRule="auto"/>
        <w:jc w:val="both"/>
        <w:rPr>
          <w:b/>
          <w:sz w:val="26"/>
          <w:szCs w:val="26"/>
        </w:rPr>
      </w:pPr>
    </w:p>
    <w:p w14:paraId="5D85A158" w14:textId="6D6D53F5" w:rsidR="00A35494" w:rsidRPr="00BF5345" w:rsidRDefault="00A35494" w:rsidP="00661430">
      <w:pPr>
        <w:spacing w:before="120" w:after="120" w:line="360" w:lineRule="auto"/>
        <w:jc w:val="both"/>
        <w:rPr>
          <w:rFonts w:cstheme="minorHAnsi"/>
          <w:b/>
          <w:sz w:val="26"/>
          <w:szCs w:val="26"/>
        </w:rPr>
      </w:pPr>
      <w:r w:rsidRPr="00BF5345">
        <w:rPr>
          <w:rFonts w:cstheme="minorHAnsi"/>
          <w:b/>
          <w:sz w:val="26"/>
          <w:szCs w:val="26"/>
        </w:rPr>
        <w:t xml:space="preserve">Informace </w:t>
      </w:r>
      <w:r w:rsidRPr="009E10AA">
        <w:rPr>
          <w:rFonts w:cstheme="minorHAnsi"/>
          <w:b/>
          <w:sz w:val="26"/>
          <w:szCs w:val="26"/>
        </w:rPr>
        <w:t>o reviz</w:t>
      </w:r>
      <w:r w:rsidR="00F34522">
        <w:rPr>
          <w:rFonts w:cstheme="minorHAnsi"/>
          <w:b/>
          <w:sz w:val="26"/>
          <w:szCs w:val="26"/>
        </w:rPr>
        <w:t>ích</w:t>
      </w:r>
      <w:r w:rsidRPr="009E10AA">
        <w:rPr>
          <w:rFonts w:cstheme="minorHAnsi"/>
          <w:b/>
          <w:sz w:val="26"/>
          <w:szCs w:val="26"/>
        </w:rPr>
        <w:t xml:space="preserve"> </w:t>
      </w:r>
      <w:proofErr w:type="spellStart"/>
      <w:r w:rsidRPr="009E10AA">
        <w:rPr>
          <w:rFonts w:cstheme="minorHAnsi"/>
          <w:b/>
          <w:sz w:val="26"/>
          <w:szCs w:val="26"/>
        </w:rPr>
        <w:t>RTS</w:t>
      </w:r>
      <w:r w:rsidR="00623685" w:rsidRPr="009E10AA">
        <w:rPr>
          <w:rFonts w:cstheme="minorHAnsi"/>
          <w:b/>
          <w:sz w:val="26"/>
          <w:szCs w:val="26"/>
        </w:rPr>
        <w:t>s</w:t>
      </w:r>
      <w:proofErr w:type="spellEnd"/>
      <w:r w:rsidR="00623685" w:rsidRPr="009E10AA">
        <w:rPr>
          <w:rFonts w:cstheme="minorHAnsi"/>
          <w:b/>
          <w:sz w:val="26"/>
          <w:szCs w:val="26"/>
        </w:rPr>
        <w:t xml:space="preserve"> a </w:t>
      </w:r>
      <w:proofErr w:type="spellStart"/>
      <w:r w:rsidR="00623685" w:rsidRPr="009E10AA">
        <w:rPr>
          <w:rFonts w:cstheme="minorHAnsi"/>
          <w:b/>
          <w:sz w:val="26"/>
          <w:szCs w:val="26"/>
        </w:rPr>
        <w:t>ITSs</w:t>
      </w:r>
      <w:proofErr w:type="spellEnd"/>
      <w:r w:rsidRPr="009E10AA">
        <w:rPr>
          <w:rFonts w:cstheme="minorHAnsi"/>
          <w:b/>
          <w:sz w:val="26"/>
          <w:szCs w:val="26"/>
        </w:rPr>
        <w:t xml:space="preserve"> v souvislosti</w:t>
      </w:r>
      <w:r w:rsidRPr="00BF5345">
        <w:rPr>
          <w:rFonts w:cstheme="minorHAnsi"/>
          <w:b/>
          <w:sz w:val="26"/>
          <w:szCs w:val="26"/>
        </w:rPr>
        <w:t xml:space="preserve"> s</w:t>
      </w:r>
      <w:r w:rsidR="00623685">
        <w:rPr>
          <w:rFonts w:cstheme="minorHAnsi"/>
          <w:b/>
          <w:sz w:val="26"/>
          <w:szCs w:val="26"/>
        </w:rPr>
        <w:t> </w:t>
      </w:r>
      <w:hyperlink r:id="rId10" w:history="1">
        <w:r w:rsidR="00623685" w:rsidRPr="00217413">
          <w:rPr>
            <w:rStyle w:val="Hypertextovodkaz"/>
            <w:rFonts w:cstheme="minorHAnsi"/>
            <w:b/>
            <w:sz w:val="26"/>
            <w:szCs w:val="26"/>
          </w:rPr>
          <w:t>revizí</w:t>
        </w:r>
        <w:r w:rsidR="00623685">
          <w:rPr>
            <w:rStyle w:val="Hypertextovodkaz"/>
            <w:rFonts w:cstheme="minorHAnsi"/>
            <w:b/>
            <w:sz w:val="26"/>
            <w:szCs w:val="26"/>
          </w:rPr>
          <w:t xml:space="preserve"> nařízení</w:t>
        </w:r>
        <w:r w:rsidR="00623685" w:rsidRPr="00217413">
          <w:rPr>
            <w:rStyle w:val="Hypertextovodkaz"/>
            <w:rFonts w:cstheme="minorHAnsi"/>
            <w:b/>
            <w:sz w:val="26"/>
            <w:szCs w:val="26"/>
          </w:rPr>
          <w:t xml:space="preserve"> M</w:t>
        </w:r>
        <w:r w:rsidR="00623685">
          <w:rPr>
            <w:rStyle w:val="Hypertextovodkaz"/>
            <w:rFonts w:cstheme="minorHAnsi"/>
            <w:b/>
            <w:sz w:val="26"/>
            <w:szCs w:val="26"/>
          </w:rPr>
          <w:t>i</w:t>
        </w:r>
        <w:r w:rsidR="00623685" w:rsidRPr="00217413">
          <w:rPr>
            <w:rStyle w:val="Hypertextovodkaz"/>
            <w:rFonts w:cstheme="minorHAnsi"/>
            <w:b/>
            <w:sz w:val="26"/>
            <w:szCs w:val="26"/>
          </w:rPr>
          <w:t>FIR</w:t>
        </w:r>
      </w:hyperlink>
    </w:p>
    <w:p w14:paraId="7F3ECA9C" w14:textId="488AD8C3" w:rsidR="00F34522" w:rsidRDefault="00A35494" w:rsidP="00664462">
      <w:pPr>
        <w:spacing w:before="120" w:after="120"/>
        <w:jc w:val="both"/>
        <w:rPr>
          <w:rFonts w:cstheme="minorHAnsi"/>
          <w:sz w:val="24"/>
          <w:szCs w:val="24"/>
        </w:rPr>
      </w:pPr>
      <w:r w:rsidRPr="00920B45">
        <w:rPr>
          <w:rFonts w:cstheme="minorHAnsi"/>
          <w:sz w:val="24"/>
          <w:szCs w:val="24"/>
        </w:rPr>
        <w:t>ESMA ve spolupráci s</w:t>
      </w:r>
      <w:r w:rsidR="001B5FA7">
        <w:rPr>
          <w:rFonts w:cstheme="minorHAnsi"/>
          <w:sz w:val="24"/>
          <w:szCs w:val="24"/>
        </w:rPr>
        <w:t> národními orgány dohledu</w:t>
      </w:r>
      <w:r w:rsidRPr="00920B45">
        <w:rPr>
          <w:rFonts w:cstheme="minorHAnsi"/>
          <w:sz w:val="24"/>
          <w:szCs w:val="24"/>
        </w:rPr>
        <w:t xml:space="preserve"> </w:t>
      </w:r>
      <w:r w:rsidR="0084191F">
        <w:rPr>
          <w:rFonts w:cstheme="minorHAnsi"/>
          <w:sz w:val="24"/>
          <w:szCs w:val="24"/>
        </w:rPr>
        <w:t>pokračovala</w:t>
      </w:r>
      <w:r w:rsidR="008E712B">
        <w:rPr>
          <w:rFonts w:cstheme="minorHAnsi"/>
          <w:sz w:val="24"/>
          <w:szCs w:val="24"/>
        </w:rPr>
        <w:t xml:space="preserve"> v práci na revizích</w:t>
      </w:r>
      <w:r w:rsidR="00623685">
        <w:rPr>
          <w:rFonts w:cstheme="minorHAnsi"/>
          <w:sz w:val="24"/>
          <w:szCs w:val="24"/>
        </w:rPr>
        <w:t xml:space="preserve"> technických standardů</w:t>
      </w:r>
      <w:r w:rsidR="009B6386">
        <w:rPr>
          <w:rFonts w:cstheme="minorHAnsi"/>
          <w:sz w:val="24"/>
          <w:szCs w:val="24"/>
        </w:rPr>
        <w:t>,</w:t>
      </w:r>
      <w:r w:rsidR="00623685">
        <w:rPr>
          <w:rFonts w:cstheme="minorHAnsi"/>
          <w:sz w:val="24"/>
          <w:szCs w:val="24"/>
        </w:rPr>
        <w:t xml:space="preserve"> k jejich</w:t>
      </w:r>
      <w:r w:rsidR="00B15EED">
        <w:rPr>
          <w:rFonts w:cstheme="minorHAnsi"/>
          <w:sz w:val="24"/>
          <w:szCs w:val="24"/>
        </w:rPr>
        <w:t>ž</w:t>
      </w:r>
      <w:r w:rsidR="00623685">
        <w:rPr>
          <w:rFonts w:cstheme="minorHAnsi"/>
          <w:sz w:val="24"/>
          <w:szCs w:val="24"/>
        </w:rPr>
        <w:t xml:space="preserve"> přípravě má mandát dle nařízení MiFIR</w:t>
      </w:r>
      <w:r w:rsidRPr="00920B45">
        <w:rPr>
          <w:rFonts w:cstheme="minorHAnsi"/>
          <w:sz w:val="24"/>
          <w:szCs w:val="24"/>
        </w:rPr>
        <w:t xml:space="preserve">. </w:t>
      </w:r>
      <w:r w:rsidR="008E712B">
        <w:rPr>
          <w:rFonts w:cstheme="minorHAnsi"/>
          <w:sz w:val="24"/>
          <w:szCs w:val="24"/>
        </w:rPr>
        <w:t xml:space="preserve">V loňském </w:t>
      </w:r>
      <w:r w:rsidR="00A73FDC">
        <w:rPr>
          <w:rFonts w:cstheme="minorHAnsi"/>
          <w:sz w:val="24"/>
          <w:szCs w:val="24"/>
        </w:rPr>
        <w:t>roce byly</w:t>
      </w:r>
      <w:r w:rsidR="008E712B">
        <w:rPr>
          <w:rFonts w:cstheme="minorHAnsi"/>
          <w:sz w:val="24"/>
          <w:szCs w:val="24"/>
        </w:rPr>
        <w:t xml:space="preserve"> všechny tři </w:t>
      </w:r>
      <w:proofErr w:type="spellStart"/>
      <w:r w:rsidR="008E712B">
        <w:rPr>
          <w:rFonts w:cstheme="minorHAnsi"/>
          <w:sz w:val="24"/>
          <w:szCs w:val="24"/>
        </w:rPr>
        <w:t>RTS</w:t>
      </w:r>
      <w:r w:rsidR="00F34522">
        <w:rPr>
          <w:rFonts w:cstheme="minorHAnsi"/>
          <w:sz w:val="24"/>
          <w:szCs w:val="24"/>
        </w:rPr>
        <w:t>s</w:t>
      </w:r>
      <w:proofErr w:type="spellEnd"/>
      <w:r w:rsidR="008E712B">
        <w:rPr>
          <w:rFonts w:cstheme="minorHAnsi"/>
          <w:sz w:val="24"/>
          <w:szCs w:val="24"/>
        </w:rPr>
        <w:t xml:space="preserve"> předloženy k veřejné </w:t>
      </w:r>
      <w:r w:rsidR="00A73FDC">
        <w:rPr>
          <w:rFonts w:cstheme="minorHAnsi"/>
          <w:sz w:val="24"/>
          <w:szCs w:val="24"/>
        </w:rPr>
        <w:t>konzultaci</w:t>
      </w:r>
      <w:r w:rsidR="009E10AA">
        <w:rPr>
          <w:rFonts w:cstheme="minorHAnsi"/>
          <w:sz w:val="24"/>
          <w:szCs w:val="24"/>
        </w:rPr>
        <w:t xml:space="preserve"> (</w:t>
      </w:r>
      <w:hyperlink r:id="rId11" w:history="1">
        <w:r w:rsidR="009E10AA" w:rsidRPr="009E10AA">
          <w:rPr>
            <w:rStyle w:val="Hypertextovodkaz"/>
            <w:rFonts w:cstheme="minorHAnsi"/>
            <w:sz w:val="24"/>
            <w:szCs w:val="24"/>
          </w:rPr>
          <w:t>RTS22/24</w:t>
        </w:r>
      </w:hyperlink>
      <w:r w:rsidR="009E10AA">
        <w:rPr>
          <w:rFonts w:cstheme="minorHAnsi"/>
          <w:sz w:val="24"/>
          <w:szCs w:val="24"/>
        </w:rPr>
        <w:t xml:space="preserve">; </w:t>
      </w:r>
      <w:hyperlink r:id="rId12" w:history="1">
        <w:r w:rsidR="009E10AA" w:rsidRPr="009E10AA">
          <w:rPr>
            <w:rStyle w:val="Hypertextovodkaz"/>
            <w:rFonts w:cstheme="minorHAnsi"/>
            <w:sz w:val="24"/>
            <w:szCs w:val="24"/>
          </w:rPr>
          <w:t>RTS23</w:t>
        </w:r>
      </w:hyperlink>
      <w:r w:rsidR="009E10AA">
        <w:rPr>
          <w:rFonts w:cstheme="minorHAnsi"/>
          <w:sz w:val="24"/>
          <w:szCs w:val="24"/>
        </w:rPr>
        <w:t>)</w:t>
      </w:r>
      <w:r w:rsidR="00A73FDC">
        <w:rPr>
          <w:rFonts w:cstheme="minorHAnsi"/>
          <w:sz w:val="24"/>
          <w:szCs w:val="24"/>
        </w:rPr>
        <w:t xml:space="preserve">. </w:t>
      </w:r>
      <w:r w:rsidR="00A73FDC" w:rsidRPr="00A73FDC">
        <w:rPr>
          <w:rFonts w:cstheme="minorHAnsi"/>
          <w:sz w:val="24"/>
          <w:szCs w:val="24"/>
        </w:rPr>
        <w:t xml:space="preserve">V současné době se projekt nachází ve fázi analýzy zpětné vazby </w:t>
      </w:r>
      <w:r w:rsidR="00F34522">
        <w:rPr>
          <w:rFonts w:cstheme="minorHAnsi"/>
          <w:sz w:val="24"/>
          <w:szCs w:val="24"/>
        </w:rPr>
        <w:t xml:space="preserve">od evropské industrie </w:t>
      </w:r>
      <w:r w:rsidR="00A73FDC" w:rsidRPr="00A73FDC">
        <w:rPr>
          <w:rFonts w:cstheme="minorHAnsi"/>
          <w:sz w:val="24"/>
          <w:szCs w:val="24"/>
        </w:rPr>
        <w:t>a dokončování výstupů. Probíhá příprava návrhu závěrečné zprávy</w:t>
      </w:r>
      <w:r w:rsidR="00F34522">
        <w:rPr>
          <w:rFonts w:cstheme="minorHAnsi"/>
          <w:sz w:val="24"/>
          <w:szCs w:val="24"/>
        </w:rPr>
        <w:t xml:space="preserve"> pro Evropskou komisi</w:t>
      </w:r>
      <w:r w:rsidR="00A73FDC" w:rsidRPr="00A73FDC">
        <w:rPr>
          <w:rFonts w:cstheme="minorHAnsi"/>
          <w:sz w:val="24"/>
          <w:szCs w:val="24"/>
        </w:rPr>
        <w:t>.</w:t>
      </w:r>
      <w:r w:rsidR="00A73FDC">
        <w:rPr>
          <w:rFonts w:cstheme="minorHAnsi"/>
          <w:sz w:val="24"/>
          <w:szCs w:val="24"/>
        </w:rPr>
        <w:t xml:space="preserve"> </w:t>
      </w:r>
      <w:r w:rsidR="0084191F">
        <w:rPr>
          <w:rFonts w:cstheme="minorHAnsi"/>
          <w:sz w:val="24"/>
          <w:szCs w:val="24"/>
        </w:rPr>
        <w:t>Cílem bylo</w:t>
      </w:r>
      <w:r w:rsidR="00A73FDC" w:rsidRPr="00A73FDC">
        <w:rPr>
          <w:rFonts w:cstheme="minorHAnsi"/>
          <w:sz w:val="24"/>
          <w:szCs w:val="24"/>
        </w:rPr>
        <w:t xml:space="preserve"> dokončit revidované technické standardy a předložit finální zprávu </w:t>
      </w:r>
      <w:r w:rsidR="00A73FDC">
        <w:rPr>
          <w:rFonts w:cstheme="minorHAnsi"/>
          <w:sz w:val="24"/>
          <w:szCs w:val="24"/>
        </w:rPr>
        <w:t xml:space="preserve">Evropské </w:t>
      </w:r>
      <w:r w:rsidR="00A73FDC" w:rsidRPr="00A73FDC">
        <w:rPr>
          <w:rFonts w:cstheme="minorHAnsi"/>
          <w:sz w:val="24"/>
          <w:szCs w:val="24"/>
        </w:rPr>
        <w:t>Komisi před létem</w:t>
      </w:r>
      <w:r w:rsidR="00A73FDC">
        <w:rPr>
          <w:rFonts w:cstheme="minorHAnsi"/>
          <w:sz w:val="24"/>
          <w:szCs w:val="24"/>
        </w:rPr>
        <w:t xml:space="preserve"> 2025</w:t>
      </w:r>
      <w:r w:rsidR="00A73FDC" w:rsidRPr="00A73FDC">
        <w:rPr>
          <w:rFonts w:cstheme="minorHAnsi"/>
          <w:sz w:val="24"/>
          <w:szCs w:val="24"/>
        </w:rPr>
        <w:t xml:space="preserve">. </w:t>
      </w:r>
    </w:p>
    <w:p w14:paraId="6A8B9C29" w14:textId="4F3A00D5" w:rsidR="00A35494" w:rsidRPr="00920B45" w:rsidRDefault="00A73FDC" w:rsidP="00EB07B4">
      <w:pPr>
        <w:spacing w:before="120" w:after="12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Jedná se o </w:t>
      </w:r>
      <w:r w:rsidR="00A35494" w:rsidRPr="00920B45">
        <w:rPr>
          <w:rFonts w:cstheme="minorHAnsi"/>
          <w:sz w:val="24"/>
          <w:szCs w:val="24"/>
        </w:rPr>
        <w:t xml:space="preserve">stávající tři </w:t>
      </w:r>
      <w:r w:rsidR="00623685">
        <w:rPr>
          <w:rFonts w:cstheme="minorHAnsi"/>
          <w:sz w:val="24"/>
          <w:szCs w:val="24"/>
        </w:rPr>
        <w:t>technické standardy</w:t>
      </w:r>
      <w:r w:rsidR="00A35494" w:rsidRPr="00920B45">
        <w:rPr>
          <w:rFonts w:cstheme="minorHAnsi"/>
          <w:sz w:val="24"/>
          <w:szCs w:val="24"/>
        </w:rPr>
        <w:t>:</w:t>
      </w:r>
    </w:p>
    <w:p w14:paraId="63BD1B3D" w14:textId="635DE5C0" w:rsidR="00A35494" w:rsidRPr="00920B45" w:rsidRDefault="00A35494" w:rsidP="00623685">
      <w:pPr>
        <w:pStyle w:val="Default"/>
        <w:numPr>
          <w:ilvl w:val="0"/>
          <w:numId w:val="8"/>
        </w:numPr>
        <w:spacing w:before="120" w:after="120" w:line="276" w:lineRule="auto"/>
        <w:jc w:val="both"/>
        <w:rPr>
          <w:rFonts w:asciiTheme="minorHAnsi" w:hAnsiTheme="minorHAnsi" w:cstheme="minorBidi"/>
          <w:color w:val="auto"/>
          <w:szCs w:val="22"/>
          <w:lang w:eastAsia="en-US"/>
        </w:rPr>
      </w:pPr>
      <w:r w:rsidRPr="00920B45">
        <w:rPr>
          <w:rFonts w:asciiTheme="minorHAnsi" w:hAnsiTheme="minorHAnsi" w:cstheme="minorBidi"/>
          <w:color w:val="auto"/>
          <w:szCs w:val="22"/>
          <w:lang w:eastAsia="en-US"/>
        </w:rPr>
        <w:t>Hlášení obchodů příslušným orgánům (</w:t>
      </w:r>
      <w:r w:rsidR="00732964">
        <w:rPr>
          <w:rFonts w:asciiTheme="minorHAnsi" w:hAnsiTheme="minorHAnsi" w:cstheme="minorBidi"/>
          <w:color w:val="auto"/>
          <w:szCs w:val="22"/>
          <w:lang w:eastAsia="en-US"/>
        </w:rPr>
        <w:t>n</w:t>
      </w:r>
      <w:r w:rsidR="00A64C8B">
        <w:rPr>
          <w:rFonts w:asciiTheme="minorHAnsi" w:hAnsiTheme="minorHAnsi" w:cstheme="minorBidi"/>
          <w:color w:val="auto"/>
          <w:szCs w:val="22"/>
          <w:lang w:eastAsia="en-US"/>
        </w:rPr>
        <w:t>ařízení 2017/590 (</w:t>
      </w:r>
      <w:r w:rsidRPr="00920B45">
        <w:rPr>
          <w:rFonts w:asciiTheme="minorHAnsi" w:hAnsiTheme="minorHAnsi" w:cstheme="minorBidi"/>
          <w:color w:val="auto"/>
          <w:szCs w:val="22"/>
          <w:lang w:eastAsia="en-US"/>
        </w:rPr>
        <w:t>RTS 22</w:t>
      </w:r>
      <w:r w:rsidR="00A64C8B">
        <w:rPr>
          <w:rFonts w:asciiTheme="minorHAnsi" w:hAnsiTheme="minorHAnsi" w:cstheme="minorBidi"/>
          <w:color w:val="auto"/>
          <w:szCs w:val="22"/>
          <w:lang w:eastAsia="en-US"/>
        </w:rPr>
        <w:t>)</w:t>
      </w:r>
      <w:r w:rsidRPr="00920B45">
        <w:rPr>
          <w:rFonts w:asciiTheme="minorHAnsi" w:hAnsiTheme="minorHAnsi" w:cstheme="minorBidi"/>
          <w:color w:val="auto"/>
          <w:szCs w:val="22"/>
          <w:lang w:eastAsia="en-US"/>
        </w:rPr>
        <w:t>)</w:t>
      </w:r>
      <w:r w:rsidR="00920B45">
        <w:rPr>
          <w:rFonts w:asciiTheme="minorHAnsi" w:hAnsiTheme="minorHAnsi" w:cstheme="minorBidi"/>
          <w:color w:val="auto"/>
          <w:szCs w:val="22"/>
          <w:lang w:eastAsia="en-US"/>
        </w:rPr>
        <w:t>.</w:t>
      </w:r>
    </w:p>
    <w:p w14:paraId="68CADF6E" w14:textId="4E2B2430" w:rsidR="00A35494" w:rsidRDefault="00A35494" w:rsidP="00623685">
      <w:pPr>
        <w:pStyle w:val="Default"/>
        <w:numPr>
          <w:ilvl w:val="0"/>
          <w:numId w:val="8"/>
        </w:numPr>
        <w:spacing w:before="120" w:after="120" w:line="276" w:lineRule="auto"/>
        <w:jc w:val="both"/>
        <w:rPr>
          <w:rFonts w:asciiTheme="minorHAnsi" w:hAnsiTheme="minorHAnsi" w:cstheme="minorBidi"/>
          <w:color w:val="auto"/>
          <w:szCs w:val="22"/>
          <w:lang w:eastAsia="en-US"/>
        </w:rPr>
      </w:pPr>
      <w:r w:rsidRPr="00920B45">
        <w:rPr>
          <w:rFonts w:asciiTheme="minorHAnsi" w:hAnsiTheme="minorHAnsi" w:cstheme="minorBidi"/>
          <w:color w:val="auto"/>
          <w:szCs w:val="22"/>
          <w:lang w:eastAsia="en-US"/>
        </w:rPr>
        <w:t>Standardy a formáty referenčních údajů o finančním nástroji a technická opatření ve vztahu k mechanismům, které mají Evropský orgán pro cenné papíry a trhy a příslušné orgány vytvořit (</w:t>
      </w:r>
      <w:r w:rsidR="00732964">
        <w:rPr>
          <w:rFonts w:asciiTheme="minorHAnsi" w:hAnsiTheme="minorHAnsi" w:cstheme="minorBidi"/>
          <w:color w:val="auto"/>
          <w:szCs w:val="22"/>
          <w:lang w:eastAsia="en-US"/>
        </w:rPr>
        <w:t>n</w:t>
      </w:r>
      <w:r w:rsidR="00A64C8B">
        <w:rPr>
          <w:rFonts w:asciiTheme="minorHAnsi" w:hAnsiTheme="minorHAnsi" w:cstheme="minorBidi"/>
          <w:color w:val="auto"/>
          <w:szCs w:val="22"/>
          <w:lang w:eastAsia="en-US"/>
        </w:rPr>
        <w:t>ařízení 2017/585 (</w:t>
      </w:r>
      <w:r w:rsidRPr="00920B45">
        <w:rPr>
          <w:rFonts w:asciiTheme="minorHAnsi" w:hAnsiTheme="minorHAnsi" w:cstheme="minorBidi"/>
          <w:color w:val="auto"/>
          <w:szCs w:val="22"/>
          <w:lang w:eastAsia="en-US"/>
        </w:rPr>
        <w:t>RTS 23</w:t>
      </w:r>
      <w:r w:rsidR="00A64C8B">
        <w:rPr>
          <w:rFonts w:asciiTheme="minorHAnsi" w:hAnsiTheme="minorHAnsi" w:cstheme="minorBidi"/>
          <w:color w:val="auto"/>
          <w:szCs w:val="22"/>
          <w:lang w:eastAsia="en-US"/>
        </w:rPr>
        <w:t>)</w:t>
      </w:r>
      <w:r w:rsidRPr="00920B45">
        <w:rPr>
          <w:rFonts w:asciiTheme="minorHAnsi" w:hAnsiTheme="minorHAnsi" w:cstheme="minorBidi"/>
          <w:color w:val="auto"/>
          <w:szCs w:val="22"/>
          <w:lang w:eastAsia="en-US"/>
        </w:rPr>
        <w:t>)</w:t>
      </w:r>
      <w:r w:rsidR="00920B45">
        <w:rPr>
          <w:rFonts w:asciiTheme="minorHAnsi" w:hAnsiTheme="minorHAnsi" w:cstheme="minorBidi"/>
          <w:color w:val="auto"/>
          <w:szCs w:val="22"/>
          <w:lang w:eastAsia="en-US"/>
        </w:rPr>
        <w:t>.</w:t>
      </w:r>
    </w:p>
    <w:p w14:paraId="68181C6D" w14:textId="6B9E4995" w:rsidR="00F34522" w:rsidRPr="00F34522" w:rsidRDefault="00F34522" w:rsidP="00C27A06">
      <w:pPr>
        <w:pStyle w:val="Default"/>
        <w:numPr>
          <w:ilvl w:val="0"/>
          <w:numId w:val="8"/>
        </w:numPr>
        <w:spacing w:before="120" w:after="120" w:line="276" w:lineRule="auto"/>
        <w:jc w:val="both"/>
        <w:rPr>
          <w:rFonts w:asciiTheme="minorHAnsi" w:hAnsiTheme="minorHAnsi" w:cstheme="minorBidi"/>
          <w:color w:val="auto"/>
          <w:szCs w:val="22"/>
          <w:lang w:eastAsia="en-US"/>
        </w:rPr>
      </w:pPr>
      <w:r w:rsidRPr="00920B45">
        <w:rPr>
          <w:rFonts w:asciiTheme="minorHAnsi" w:hAnsiTheme="minorHAnsi" w:cstheme="minorBidi"/>
          <w:color w:val="auto"/>
          <w:szCs w:val="22"/>
          <w:lang w:eastAsia="en-US"/>
        </w:rPr>
        <w:t>Uchování příslušných údajů o pokynech týkajících se finančních nástrojů (</w:t>
      </w:r>
      <w:r>
        <w:rPr>
          <w:rFonts w:asciiTheme="minorHAnsi" w:hAnsiTheme="minorHAnsi" w:cstheme="minorBidi"/>
          <w:color w:val="auto"/>
          <w:szCs w:val="22"/>
          <w:lang w:eastAsia="en-US"/>
        </w:rPr>
        <w:t xml:space="preserve">nařízení </w:t>
      </w:r>
      <w:r w:rsidRPr="00910440">
        <w:rPr>
          <w:rFonts w:asciiTheme="minorHAnsi" w:hAnsiTheme="minorHAnsi" w:cstheme="minorBidi"/>
          <w:color w:val="auto"/>
          <w:szCs w:val="22"/>
          <w:lang w:eastAsia="en-US"/>
        </w:rPr>
        <w:t>2017/580</w:t>
      </w:r>
      <w:r>
        <w:rPr>
          <w:rFonts w:asciiTheme="minorHAnsi" w:hAnsiTheme="minorHAnsi" w:cstheme="minorBidi"/>
          <w:color w:val="auto"/>
          <w:szCs w:val="22"/>
          <w:lang w:eastAsia="en-US"/>
        </w:rPr>
        <w:t xml:space="preserve"> (</w:t>
      </w:r>
      <w:r w:rsidRPr="00920B45">
        <w:rPr>
          <w:rFonts w:asciiTheme="minorHAnsi" w:hAnsiTheme="minorHAnsi" w:cstheme="minorBidi"/>
          <w:color w:val="auto"/>
          <w:szCs w:val="22"/>
          <w:lang w:eastAsia="en-US"/>
        </w:rPr>
        <w:t>RTS 24</w:t>
      </w:r>
      <w:r>
        <w:rPr>
          <w:rFonts w:asciiTheme="minorHAnsi" w:hAnsiTheme="minorHAnsi" w:cstheme="minorBidi"/>
          <w:color w:val="auto"/>
          <w:szCs w:val="22"/>
          <w:lang w:eastAsia="en-US"/>
        </w:rPr>
        <w:t>)</w:t>
      </w:r>
      <w:r w:rsidRPr="00920B45">
        <w:rPr>
          <w:rFonts w:asciiTheme="minorHAnsi" w:hAnsiTheme="minorHAnsi" w:cstheme="minorBidi"/>
          <w:color w:val="auto"/>
          <w:szCs w:val="22"/>
          <w:lang w:eastAsia="en-US"/>
        </w:rPr>
        <w:t>)</w:t>
      </w:r>
      <w:r>
        <w:rPr>
          <w:rFonts w:asciiTheme="minorHAnsi" w:hAnsiTheme="minorHAnsi" w:cstheme="minorBidi"/>
          <w:color w:val="auto"/>
          <w:szCs w:val="22"/>
          <w:lang w:eastAsia="en-US"/>
        </w:rPr>
        <w:t>.</w:t>
      </w:r>
    </w:p>
    <w:p w14:paraId="6CDC7177" w14:textId="16C01B8D" w:rsidR="0084191F" w:rsidRDefault="00163A22" w:rsidP="00BD3431">
      <w:pPr>
        <w:spacing w:before="120" w:after="120"/>
        <w:jc w:val="both"/>
        <w:rPr>
          <w:rFonts w:cstheme="minorHAnsi"/>
          <w:sz w:val="24"/>
          <w:szCs w:val="24"/>
        </w:rPr>
      </w:pPr>
      <w:r w:rsidRPr="00664462">
        <w:rPr>
          <w:rFonts w:cstheme="minorHAnsi"/>
          <w:sz w:val="24"/>
          <w:szCs w:val="24"/>
        </w:rPr>
        <w:t>Diskuze nad f</w:t>
      </w:r>
      <w:r w:rsidR="009E10AA" w:rsidRPr="00664462">
        <w:rPr>
          <w:rFonts w:cstheme="minorHAnsi"/>
          <w:sz w:val="24"/>
          <w:szCs w:val="24"/>
        </w:rPr>
        <w:t>ormát</w:t>
      </w:r>
      <w:r w:rsidRPr="00664462">
        <w:rPr>
          <w:rFonts w:cstheme="minorHAnsi"/>
          <w:sz w:val="24"/>
          <w:szCs w:val="24"/>
        </w:rPr>
        <w:t>em</w:t>
      </w:r>
      <w:r w:rsidR="009E10AA" w:rsidRPr="00664462">
        <w:rPr>
          <w:rFonts w:cstheme="minorHAnsi"/>
          <w:sz w:val="24"/>
          <w:szCs w:val="24"/>
        </w:rPr>
        <w:t xml:space="preserve"> i termín prvního reportingu dle upravených </w:t>
      </w:r>
      <w:proofErr w:type="spellStart"/>
      <w:r w:rsidR="009E10AA" w:rsidRPr="00664462">
        <w:rPr>
          <w:rFonts w:cstheme="minorHAnsi"/>
          <w:sz w:val="24"/>
          <w:szCs w:val="24"/>
        </w:rPr>
        <w:t>RTS</w:t>
      </w:r>
      <w:r w:rsidR="00F34522" w:rsidRPr="00664462">
        <w:rPr>
          <w:rFonts w:cstheme="minorHAnsi"/>
          <w:sz w:val="24"/>
          <w:szCs w:val="24"/>
        </w:rPr>
        <w:t>s</w:t>
      </w:r>
      <w:proofErr w:type="spellEnd"/>
      <w:r w:rsidRPr="00664462">
        <w:rPr>
          <w:rFonts w:cstheme="minorHAnsi"/>
          <w:sz w:val="24"/>
          <w:szCs w:val="24"/>
        </w:rPr>
        <w:t xml:space="preserve"> </w:t>
      </w:r>
      <w:r w:rsidR="00664462">
        <w:rPr>
          <w:rFonts w:cstheme="minorHAnsi"/>
          <w:sz w:val="24"/>
          <w:szCs w:val="24"/>
        </w:rPr>
        <w:t>zatím nebyly</w:t>
      </w:r>
      <w:r w:rsidR="00F34522" w:rsidRPr="00664462">
        <w:rPr>
          <w:rFonts w:cstheme="minorHAnsi"/>
          <w:sz w:val="24"/>
          <w:szCs w:val="24"/>
        </w:rPr>
        <w:t xml:space="preserve"> </w:t>
      </w:r>
      <w:r w:rsidR="00946685">
        <w:rPr>
          <w:rFonts w:cstheme="minorHAnsi"/>
          <w:sz w:val="24"/>
          <w:szCs w:val="24"/>
        </w:rPr>
        <w:t xml:space="preserve">na </w:t>
      </w:r>
      <w:r w:rsidR="00F34522" w:rsidRPr="00664462">
        <w:rPr>
          <w:rFonts w:cstheme="minorHAnsi"/>
          <w:sz w:val="24"/>
          <w:szCs w:val="24"/>
        </w:rPr>
        <w:t>úrovni ESMA</w:t>
      </w:r>
      <w:r w:rsidR="00664462">
        <w:rPr>
          <w:rFonts w:cstheme="minorHAnsi"/>
          <w:sz w:val="24"/>
          <w:szCs w:val="24"/>
        </w:rPr>
        <w:t xml:space="preserve"> stanoveny</w:t>
      </w:r>
      <w:r w:rsidR="00664462" w:rsidRPr="00664462">
        <w:rPr>
          <w:rFonts w:cstheme="minorHAnsi"/>
          <w:sz w:val="24"/>
          <w:szCs w:val="24"/>
        </w:rPr>
        <w:t xml:space="preserve">. Vzhledem k probíhajícím diskusím a dalšímu vývoji v dané oblasti doporučujeme průběžně sledovat oficiální informace zveřejňované na internetových stránkách ESMA a zvážit účast </w:t>
      </w:r>
      <w:r w:rsidR="00BD3431">
        <w:rPr>
          <w:rFonts w:cstheme="minorHAnsi"/>
          <w:sz w:val="24"/>
          <w:szCs w:val="24"/>
        </w:rPr>
        <w:t>v</w:t>
      </w:r>
      <w:r w:rsidR="00BD3431" w:rsidRPr="00664462">
        <w:rPr>
          <w:rFonts w:cstheme="minorHAnsi"/>
          <w:sz w:val="24"/>
          <w:szCs w:val="24"/>
        </w:rPr>
        <w:t xml:space="preserve"> </w:t>
      </w:r>
      <w:r w:rsidR="00664462" w:rsidRPr="00664462">
        <w:rPr>
          <w:rFonts w:cstheme="minorHAnsi"/>
          <w:sz w:val="24"/>
          <w:szCs w:val="24"/>
        </w:rPr>
        <w:t>případných veřejných konzultacích</w:t>
      </w:r>
      <w:r w:rsidR="0084191F">
        <w:rPr>
          <w:rFonts w:cstheme="minorHAnsi"/>
          <w:sz w:val="24"/>
          <w:szCs w:val="24"/>
        </w:rPr>
        <w:t xml:space="preserve">. </w:t>
      </w:r>
    </w:p>
    <w:p w14:paraId="2CD98B12" w14:textId="5F6D97B7" w:rsidR="00A73FDC" w:rsidRDefault="0084191F" w:rsidP="00664462">
      <w:pPr>
        <w:spacing w:before="120" w:after="12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Vzhledem k důležitosti tématu vás budeme o</w:t>
      </w:r>
      <w:r w:rsidR="009E10AA" w:rsidRPr="009E10AA">
        <w:rPr>
          <w:rFonts w:cstheme="minorHAnsi"/>
          <w:sz w:val="24"/>
          <w:szCs w:val="24"/>
        </w:rPr>
        <w:t xml:space="preserve"> d</w:t>
      </w:r>
      <w:r w:rsidR="009E10AA">
        <w:rPr>
          <w:rFonts w:cstheme="minorHAnsi"/>
          <w:sz w:val="24"/>
          <w:szCs w:val="24"/>
        </w:rPr>
        <w:t>alším vývoji průběžně informovat.</w:t>
      </w:r>
    </w:p>
    <w:p w14:paraId="70098DEB" w14:textId="17DAF57B" w:rsidR="009E10AA" w:rsidRDefault="009E10AA" w:rsidP="00661430">
      <w:pPr>
        <w:spacing w:before="120" w:after="120" w:line="360" w:lineRule="auto"/>
        <w:jc w:val="both"/>
        <w:rPr>
          <w:b/>
          <w:sz w:val="26"/>
          <w:szCs w:val="26"/>
        </w:rPr>
      </w:pPr>
    </w:p>
    <w:p w14:paraId="46082C3A" w14:textId="77777777" w:rsidR="00AA2CCF" w:rsidRDefault="00AA2CCF" w:rsidP="00661430">
      <w:pPr>
        <w:spacing w:before="120" w:after="120" w:line="360" w:lineRule="auto"/>
        <w:jc w:val="both"/>
        <w:rPr>
          <w:b/>
          <w:sz w:val="26"/>
          <w:szCs w:val="26"/>
        </w:rPr>
      </w:pPr>
    </w:p>
    <w:p w14:paraId="51220ECC" w14:textId="067F700B" w:rsidR="007C75FB" w:rsidRDefault="00501FA0" w:rsidP="00961057">
      <w:pPr>
        <w:spacing w:before="120" w:after="120" w:line="360" w:lineRule="auto"/>
        <w:jc w:val="both"/>
        <w:rPr>
          <w:sz w:val="24"/>
          <w:szCs w:val="24"/>
        </w:rPr>
      </w:pPr>
      <w:r w:rsidRPr="00DE3A35">
        <w:rPr>
          <w:b/>
          <w:sz w:val="26"/>
          <w:szCs w:val="26"/>
        </w:rPr>
        <w:lastRenderedPageBreak/>
        <w:t>Evropské výkaznictví</w:t>
      </w:r>
    </w:p>
    <w:p w14:paraId="228B89C8" w14:textId="7DD2AB36" w:rsidR="00B24151" w:rsidRDefault="00501FA0" w:rsidP="001E0C33">
      <w:pPr>
        <w:pStyle w:val="Default"/>
        <w:keepNext/>
        <w:numPr>
          <w:ilvl w:val="0"/>
          <w:numId w:val="2"/>
        </w:numPr>
        <w:spacing w:before="120" w:after="120" w:line="320" w:lineRule="exact"/>
        <w:jc w:val="both"/>
        <w:rPr>
          <w:rFonts w:asciiTheme="minorHAnsi" w:hAnsiTheme="minorHAnsi" w:cstheme="minorBidi"/>
          <w:b/>
          <w:color w:val="auto"/>
          <w:szCs w:val="22"/>
          <w:lang w:eastAsia="en-US"/>
        </w:rPr>
      </w:pPr>
      <w:r w:rsidRPr="00211A2F">
        <w:rPr>
          <w:rFonts w:asciiTheme="minorHAnsi" w:hAnsiTheme="minorHAnsi" w:cstheme="minorBidi"/>
          <w:b/>
          <w:color w:val="auto"/>
          <w:szCs w:val="22"/>
          <w:lang w:eastAsia="en-US"/>
        </w:rPr>
        <w:t xml:space="preserve">Předpokládané změny v jednotném vykazovacím rámci EBA </w:t>
      </w:r>
    </w:p>
    <w:p w14:paraId="6ADF545E" w14:textId="597BFE69" w:rsidR="005170D6" w:rsidRPr="005170D6" w:rsidRDefault="005170D6" w:rsidP="005170D6">
      <w:pPr>
        <w:keepNext/>
        <w:spacing w:before="120" w:after="0"/>
        <w:jc w:val="both"/>
        <w:rPr>
          <w:rFonts w:eastAsia="Calibri" w:cs="Times New Roman"/>
          <w:noProof/>
          <w:sz w:val="24"/>
          <w:szCs w:val="24"/>
        </w:rPr>
      </w:pPr>
      <w:r w:rsidRPr="005170D6">
        <w:rPr>
          <w:rFonts w:eastAsia="Calibri" w:cs="Times New Roman"/>
          <w:noProof/>
          <w:sz w:val="24"/>
          <w:szCs w:val="24"/>
        </w:rPr>
        <w:t>Informace k metodice EBA v4.2:</w:t>
      </w:r>
      <w:r>
        <w:rPr>
          <w:rFonts w:eastAsia="Calibri" w:cs="Times New Roman"/>
          <w:noProof/>
          <w:sz w:val="24"/>
          <w:szCs w:val="24"/>
        </w:rPr>
        <w:t xml:space="preserve"> </w:t>
      </w:r>
      <w:r w:rsidR="00E173F7" w:rsidRPr="00E173F7">
        <w:rPr>
          <w:rFonts w:eastAsia="Calibri" w:cs="Times New Roman"/>
          <w:noProof/>
          <w:sz w:val="24"/>
          <w:szCs w:val="24"/>
        </w:rPr>
        <w:t xml:space="preserve">Pro investiční podniky třídy 1- dojde k rozšíření výkazu COREP OF o datové oblasti týkající se operačního rizika (COREP Op risk). Přepokládaný první sběr dat proběhne </w:t>
      </w:r>
      <w:r w:rsidR="00E173F7">
        <w:rPr>
          <w:rFonts w:eastAsia="Calibri" w:cs="Times New Roman"/>
          <w:noProof/>
          <w:sz w:val="24"/>
          <w:szCs w:val="24"/>
        </w:rPr>
        <w:t xml:space="preserve">za </w:t>
      </w:r>
      <w:r w:rsidR="00E173F7" w:rsidRPr="00D401FE">
        <w:rPr>
          <w:rFonts w:eastAsia="Calibri" w:cs="Times New Roman"/>
          <w:noProof/>
          <w:sz w:val="24"/>
          <w:szCs w:val="24"/>
        </w:rPr>
        <w:t xml:space="preserve">data k </w:t>
      </w:r>
      <w:r w:rsidR="00356970" w:rsidRPr="00D401FE">
        <w:rPr>
          <w:rFonts w:eastAsia="Calibri" w:cs="Times New Roman"/>
          <w:noProof/>
          <w:sz w:val="24"/>
          <w:szCs w:val="24"/>
        </w:rPr>
        <w:t>31</w:t>
      </w:r>
      <w:r w:rsidR="00E173F7" w:rsidRPr="00D401FE">
        <w:rPr>
          <w:rFonts w:eastAsia="Calibri" w:cs="Times New Roman"/>
          <w:noProof/>
          <w:sz w:val="24"/>
          <w:szCs w:val="24"/>
        </w:rPr>
        <w:t xml:space="preserve">. </w:t>
      </w:r>
      <w:r w:rsidR="00356970" w:rsidRPr="00D401FE">
        <w:rPr>
          <w:rFonts w:eastAsia="Calibri" w:cs="Times New Roman"/>
          <w:noProof/>
          <w:sz w:val="24"/>
          <w:szCs w:val="24"/>
        </w:rPr>
        <w:t>prosinci</w:t>
      </w:r>
      <w:r w:rsidR="00E173F7" w:rsidRPr="00D401FE">
        <w:rPr>
          <w:rFonts w:eastAsia="Calibri" w:cs="Times New Roman"/>
          <w:noProof/>
          <w:sz w:val="24"/>
          <w:szCs w:val="24"/>
        </w:rPr>
        <w:t xml:space="preserve"> 2025</w:t>
      </w:r>
      <w:r w:rsidRPr="00D401FE">
        <w:rPr>
          <w:rFonts w:eastAsia="Calibri" w:cs="Times New Roman"/>
          <w:noProof/>
          <w:sz w:val="24"/>
          <w:szCs w:val="24"/>
        </w:rPr>
        <w:t xml:space="preserve">. </w:t>
      </w:r>
      <w:r w:rsidR="00935052" w:rsidRPr="00D401FE">
        <w:rPr>
          <w:rFonts w:eastAsia="Calibri" w:cs="Times New Roman"/>
          <w:noProof/>
          <w:sz w:val="24"/>
          <w:szCs w:val="24"/>
        </w:rPr>
        <w:t>Další informace</w:t>
      </w:r>
      <w:r w:rsidR="00935052" w:rsidRPr="003656CF">
        <w:rPr>
          <w:rFonts w:eastAsia="Calibri" w:cs="Times New Roman"/>
          <w:noProof/>
          <w:sz w:val="24"/>
          <w:szCs w:val="24"/>
        </w:rPr>
        <w:t xml:space="preserve"> k metodikám EBA jsou publikovány i na webových stránkách EBA pod záložkou </w:t>
      </w:r>
      <w:r w:rsidR="003656CF" w:rsidRPr="003656CF">
        <w:rPr>
          <w:rFonts w:eastAsia="Calibri" w:cs="Times New Roman"/>
          <w:noProof/>
          <w:sz w:val="24"/>
          <w:szCs w:val="24"/>
        </w:rPr>
        <w:t xml:space="preserve">Risk analysis and data – EBA Reporting </w:t>
      </w:r>
      <w:hyperlink r:id="rId13" w:history="1">
        <w:r w:rsidR="003656CF" w:rsidRPr="003656CF">
          <w:rPr>
            <w:rStyle w:val="Hypertextovodkaz"/>
            <w:rFonts w:eastAsia="Calibri" w:cs="Times New Roman"/>
            <w:noProof/>
            <w:sz w:val="24"/>
            <w:szCs w:val="24"/>
          </w:rPr>
          <w:t>Frameworks</w:t>
        </w:r>
      </w:hyperlink>
      <w:r w:rsidR="003656CF">
        <w:rPr>
          <w:rFonts w:eastAsia="Calibri" w:cs="Times New Roman"/>
          <w:noProof/>
          <w:sz w:val="24"/>
          <w:szCs w:val="24"/>
        </w:rPr>
        <w:t xml:space="preserve"> (je třeba vždy vybrat Framework, který vás zajímá). </w:t>
      </w:r>
    </w:p>
    <w:p w14:paraId="66CAD4F9" w14:textId="39D0A436" w:rsidR="005170D6" w:rsidRPr="005170D6" w:rsidRDefault="005170D6" w:rsidP="005170D6">
      <w:pPr>
        <w:keepNext/>
        <w:spacing w:before="120" w:after="0"/>
        <w:jc w:val="both"/>
        <w:rPr>
          <w:rFonts w:eastAsia="Calibri" w:cs="Times New Roman"/>
          <w:noProof/>
          <w:sz w:val="24"/>
          <w:szCs w:val="24"/>
        </w:rPr>
      </w:pPr>
      <w:r w:rsidRPr="005170D6">
        <w:rPr>
          <w:rFonts w:eastAsia="Calibri" w:cs="Times New Roman"/>
          <w:noProof/>
          <w:sz w:val="24"/>
          <w:szCs w:val="24"/>
        </w:rPr>
        <w:t>Současně budou publikovány zbývající výkazy v novém standardu (DPM 2.0), s novým obsahem datového slovníku. Týká se např. výkazů FINREP, FP, IRRBB, v rámci kterých nebudou realizovány věcné změny, ale pouze změny technické související s přechodem ze standardu DPM1.0 na DPM2.0.</w:t>
      </w:r>
      <w:r>
        <w:rPr>
          <w:rFonts w:eastAsia="Calibri" w:cs="Times New Roman"/>
          <w:noProof/>
          <w:sz w:val="24"/>
          <w:szCs w:val="24"/>
        </w:rPr>
        <w:t xml:space="preserve"> </w:t>
      </w:r>
      <w:r w:rsidRPr="005170D6">
        <w:rPr>
          <w:rFonts w:eastAsia="Calibri" w:cs="Times New Roman"/>
          <w:noProof/>
          <w:sz w:val="24"/>
          <w:szCs w:val="24"/>
        </w:rPr>
        <w:t xml:space="preserve">Podrobnější informace o přechodu z DPM Standard 1.0 na DPM Standard 2.0 </w:t>
      </w:r>
      <w:hyperlink r:id="rId14" w:history="1">
        <w:r w:rsidRPr="005170D6">
          <w:rPr>
            <w:rStyle w:val="Hypertextovodkaz"/>
            <w:rFonts w:eastAsia="Calibri" w:cs="Times New Roman"/>
            <w:noProof/>
            <w:sz w:val="24"/>
            <w:szCs w:val="24"/>
          </w:rPr>
          <w:t>lze nalézt na webových</w:t>
        </w:r>
      </w:hyperlink>
      <w:r w:rsidRPr="005170D6">
        <w:rPr>
          <w:rFonts w:eastAsia="Calibri" w:cs="Times New Roman"/>
          <w:noProof/>
          <w:sz w:val="24"/>
          <w:szCs w:val="24"/>
        </w:rPr>
        <w:t xml:space="preserve"> stránkách EBA.</w:t>
      </w:r>
    </w:p>
    <w:p w14:paraId="0A5FDCB6" w14:textId="6F9BB35D" w:rsidR="00935052" w:rsidRDefault="005170D6" w:rsidP="005170D6">
      <w:pPr>
        <w:keepNext/>
        <w:spacing w:before="120" w:after="0"/>
        <w:jc w:val="both"/>
        <w:rPr>
          <w:rFonts w:eastAsia="Calibri" w:cs="Times New Roman"/>
          <w:noProof/>
          <w:sz w:val="24"/>
          <w:szCs w:val="24"/>
        </w:rPr>
      </w:pPr>
      <w:r w:rsidRPr="005170D6">
        <w:rPr>
          <w:rFonts w:eastAsia="Calibri" w:cs="Times New Roman"/>
          <w:noProof/>
          <w:sz w:val="24"/>
          <w:szCs w:val="24"/>
        </w:rPr>
        <w:t>Vydání metodiky</w:t>
      </w:r>
      <w:r w:rsidR="006E7C9D">
        <w:rPr>
          <w:rFonts w:eastAsia="Calibri" w:cs="Times New Roman"/>
          <w:noProof/>
          <w:sz w:val="24"/>
          <w:szCs w:val="24"/>
        </w:rPr>
        <w:t xml:space="preserve"> </w:t>
      </w:r>
      <w:r w:rsidR="006E7C9D" w:rsidRPr="005170D6">
        <w:rPr>
          <w:rFonts w:eastAsia="Calibri" w:cs="Times New Roman"/>
          <w:noProof/>
          <w:sz w:val="24"/>
          <w:szCs w:val="24"/>
        </w:rPr>
        <w:t>v4.2</w:t>
      </w:r>
      <w:r w:rsidRPr="005170D6">
        <w:rPr>
          <w:rFonts w:eastAsia="Calibri" w:cs="Times New Roman"/>
          <w:noProof/>
          <w:sz w:val="24"/>
          <w:szCs w:val="24"/>
        </w:rPr>
        <w:t xml:space="preserve"> EBA </w:t>
      </w:r>
      <w:r w:rsidR="005D1D7C" w:rsidRPr="005170D6">
        <w:rPr>
          <w:rFonts w:eastAsia="Calibri" w:cs="Times New Roman"/>
          <w:noProof/>
          <w:sz w:val="24"/>
          <w:szCs w:val="24"/>
        </w:rPr>
        <w:t>plán</w:t>
      </w:r>
      <w:r w:rsidR="005D1D7C">
        <w:rPr>
          <w:rFonts w:eastAsia="Calibri" w:cs="Times New Roman"/>
          <w:noProof/>
          <w:sz w:val="24"/>
          <w:szCs w:val="24"/>
        </w:rPr>
        <w:t>uje</w:t>
      </w:r>
      <w:r w:rsidR="005D1D7C" w:rsidRPr="005170D6">
        <w:rPr>
          <w:rFonts w:eastAsia="Calibri" w:cs="Times New Roman"/>
          <w:noProof/>
          <w:sz w:val="24"/>
          <w:szCs w:val="24"/>
        </w:rPr>
        <w:t xml:space="preserve"> </w:t>
      </w:r>
      <w:r w:rsidRPr="005170D6">
        <w:rPr>
          <w:rFonts w:eastAsia="Calibri" w:cs="Times New Roman"/>
          <w:noProof/>
          <w:sz w:val="24"/>
          <w:szCs w:val="24"/>
        </w:rPr>
        <w:t>na 3Q 2025, prvním referenčním datem byl měl být 31. prosinec 2025.</w:t>
      </w:r>
    </w:p>
    <w:p w14:paraId="1F641785" w14:textId="5BDFF3D7" w:rsidR="00361F8B" w:rsidRDefault="00361F8B" w:rsidP="001E0C33">
      <w:pPr>
        <w:pStyle w:val="Odstavecseseznamem"/>
        <w:ind w:left="426"/>
        <w:jc w:val="both"/>
        <w:rPr>
          <w:sz w:val="24"/>
        </w:rPr>
      </w:pPr>
    </w:p>
    <w:p w14:paraId="6E9F2B9C" w14:textId="77777777" w:rsidR="00501FA0" w:rsidRPr="00273982" w:rsidRDefault="00501FA0" w:rsidP="00661430">
      <w:pPr>
        <w:spacing w:before="120" w:after="120" w:line="360" w:lineRule="auto"/>
        <w:jc w:val="both"/>
        <w:rPr>
          <w:b/>
          <w:sz w:val="26"/>
          <w:szCs w:val="26"/>
        </w:rPr>
      </w:pPr>
      <w:r w:rsidRPr="00273982">
        <w:rPr>
          <w:b/>
          <w:sz w:val="26"/>
          <w:szCs w:val="26"/>
        </w:rPr>
        <w:t>Národní výkaznictví</w:t>
      </w:r>
    </w:p>
    <w:p w14:paraId="122902CF" w14:textId="77777777" w:rsidR="00FC42C9" w:rsidRDefault="00FC42C9" w:rsidP="00E74DEF">
      <w:pPr>
        <w:pStyle w:val="Odstavecseseznamem"/>
        <w:spacing w:before="120" w:after="120" w:line="320" w:lineRule="exact"/>
        <w:ind w:left="360"/>
        <w:jc w:val="both"/>
        <w:rPr>
          <w:b/>
          <w:sz w:val="24"/>
        </w:rPr>
      </w:pPr>
    </w:p>
    <w:p w14:paraId="1F892F80" w14:textId="13194BA0" w:rsidR="00E74DEF" w:rsidRDefault="00E74DEF" w:rsidP="00E74DEF">
      <w:pPr>
        <w:pStyle w:val="Odstavecseseznamem"/>
        <w:numPr>
          <w:ilvl w:val="0"/>
          <w:numId w:val="30"/>
        </w:numPr>
        <w:spacing w:before="120" w:after="120" w:line="320" w:lineRule="exact"/>
        <w:jc w:val="both"/>
        <w:rPr>
          <w:b/>
          <w:sz w:val="24"/>
        </w:rPr>
      </w:pPr>
      <w:r>
        <w:rPr>
          <w:b/>
          <w:sz w:val="24"/>
        </w:rPr>
        <w:t xml:space="preserve">Úprava </w:t>
      </w:r>
      <w:r w:rsidR="007A15BD">
        <w:rPr>
          <w:b/>
          <w:sz w:val="24"/>
        </w:rPr>
        <w:t>MVK pro sdružování pokynů</w:t>
      </w:r>
    </w:p>
    <w:p w14:paraId="1D738AC4" w14:textId="789245A8" w:rsidR="006F08A8" w:rsidRPr="00451819" w:rsidRDefault="006F08A8" w:rsidP="006F08A8">
      <w:pPr>
        <w:spacing w:before="120" w:after="120" w:line="320" w:lineRule="exact"/>
        <w:jc w:val="both"/>
        <w:rPr>
          <w:sz w:val="24"/>
          <w:szCs w:val="24"/>
        </w:rPr>
      </w:pPr>
      <w:r>
        <w:rPr>
          <w:sz w:val="24"/>
          <w:szCs w:val="24"/>
        </w:rPr>
        <w:t>Dojde k úpravě současných</w:t>
      </w:r>
      <w:r w:rsidRPr="00451819">
        <w:rPr>
          <w:sz w:val="24"/>
          <w:szCs w:val="24"/>
        </w:rPr>
        <w:t xml:space="preserve"> MVK 221_1, 221_2</w:t>
      </w:r>
      <w:r w:rsidR="00F34522">
        <w:rPr>
          <w:sz w:val="24"/>
          <w:szCs w:val="24"/>
        </w:rPr>
        <w:t xml:space="preserve">, </w:t>
      </w:r>
      <w:r w:rsidRPr="00451819">
        <w:rPr>
          <w:sz w:val="24"/>
          <w:szCs w:val="24"/>
        </w:rPr>
        <w:t>222_1 a 222_2</w:t>
      </w:r>
      <w:r w:rsidR="00BA5BED">
        <w:rPr>
          <w:sz w:val="24"/>
          <w:szCs w:val="24"/>
        </w:rPr>
        <w:t>, které jsou dnes typu</w:t>
      </w:r>
      <w:r w:rsidR="00FC42C9">
        <w:rPr>
          <w:sz w:val="24"/>
          <w:szCs w:val="24"/>
        </w:rPr>
        <w:t xml:space="preserve"> závažnosti</w:t>
      </w:r>
      <w:r w:rsidR="00BA5BED">
        <w:rPr>
          <w:sz w:val="24"/>
          <w:szCs w:val="24"/>
        </w:rPr>
        <w:t xml:space="preserve"> „</w:t>
      </w:r>
      <w:r w:rsidR="00F34522">
        <w:rPr>
          <w:sz w:val="24"/>
          <w:szCs w:val="24"/>
        </w:rPr>
        <w:t>V</w:t>
      </w:r>
      <w:r w:rsidR="00BA5BED">
        <w:rPr>
          <w:sz w:val="24"/>
          <w:szCs w:val="24"/>
        </w:rPr>
        <w:t>arování“</w:t>
      </w:r>
      <w:r>
        <w:rPr>
          <w:sz w:val="24"/>
          <w:szCs w:val="24"/>
        </w:rPr>
        <w:t xml:space="preserve">. </w:t>
      </w:r>
      <w:r w:rsidRPr="00451819">
        <w:rPr>
          <w:sz w:val="24"/>
          <w:szCs w:val="24"/>
        </w:rPr>
        <w:t>Kontrol</w:t>
      </w:r>
      <w:r>
        <w:rPr>
          <w:sz w:val="24"/>
          <w:szCs w:val="24"/>
        </w:rPr>
        <w:t>y</w:t>
      </w:r>
      <w:r w:rsidRPr="00451819">
        <w:rPr>
          <w:sz w:val="24"/>
          <w:szCs w:val="24"/>
        </w:rPr>
        <w:t xml:space="preserve"> j</w:t>
      </w:r>
      <w:r>
        <w:rPr>
          <w:sz w:val="24"/>
          <w:szCs w:val="24"/>
        </w:rPr>
        <w:t>sou upravovány</w:t>
      </w:r>
      <w:r w:rsidRPr="00451819">
        <w:rPr>
          <w:sz w:val="24"/>
          <w:szCs w:val="24"/>
        </w:rPr>
        <w:t xml:space="preserve"> z důvodu, že během vykazování byly identifikovány dva způsoby vykazování v případě sdružování poky</w:t>
      </w:r>
      <w:r>
        <w:rPr>
          <w:sz w:val="24"/>
          <w:szCs w:val="24"/>
        </w:rPr>
        <w:t>nů (tzv. INTC pokyny a obchody)</w:t>
      </w:r>
      <w:r w:rsidR="00FC42C9">
        <w:rPr>
          <w:sz w:val="24"/>
          <w:szCs w:val="24"/>
        </w:rPr>
        <w:t xml:space="preserve"> na straně vykazujících osob</w:t>
      </w:r>
      <w:r w:rsidR="00BA5BED">
        <w:rPr>
          <w:sz w:val="24"/>
          <w:szCs w:val="24"/>
        </w:rPr>
        <w:t>. P</w:t>
      </w:r>
      <w:r>
        <w:rPr>
          <w:sz w:val="24"/>
          <w:szCs w:val="24"/>
        </w:rPr>
        <w:t xml:space="preserve">o důkladné analýze a </w:t>
      </w:r>
      <w:r w:rsidRPr="00451819">
        <w:rPr>
          <w:sz w:val="24"/>
          <w:szCs w:val="24"/>
        </w:rPr>
        <w:t xml:space="preserve">komunikaci s vykazujícími osobami, </w:t>
      </w:r>
      <w:r>
        <w:rPr>
          <w:sz w:val="24"/>
          <w:szCs w:val="24"/>
        </w:rPr>
        <w:t xml:space="preserve">byly </w:t>
      </w:r>
      <w:r w:rsidR="00BA5BED">
        <w:rPr>
          <w:sz w:val="24"/>
          <w:szCs w:val="24"/>
        </w:rPr>
        <w:t xml:space="preserve">ČNB </w:t>
      </w:r>
      <w:r w:rsidRPr="00451819">
        <w:rPr>
          <w:sz w:val="24"/>
          <w:szCs w:val="24"/>
        </w:rPr>
        <w:t>akceptovány</w:t>
      </w:r>
      <w:r>
        <w:rPr>
          <w:sz w:val="24"/>
          <w:szCs w:val="24"/>
        </w:rPr>
        <w:t xml:space="preserve"> oba dva způsoby zasílání sdružených pokynů</w:t>
      </w:r>
      <w:r w:rsidR="00FC42C9">
        <w:rPr>
          <w:sz w:val="24"/>
          <w:szCs w:val="24"/>
        </w:rPr>
        <w:t>, a to do okamžiku případných úprav INTC obchodů souvisejících s revizí M</w:t>
      </w:r>
      <w:r w:rsidR="00F34522">
        <w:rPr>
          <w:sz w:val="24"/>
          <w:szCs w:val="24"/>
        </w:rPr>
        <w:t>i</w:t>
      </w:r>
      <w:r w:rsidR="00FC42C9">
        <w:rPr>
          <w:sz w:val="24"/>
          <w:szCs w:val="24"/>
        </w:rPr>
        <w:t>FIR.</w:t>
      </w:r>
      <w:r w:rsidRPr="00451819">
        <w:rPr>
          <w:sz w:val="24"/>
          <w:szCs w:val="24"/>
        </w:rPr>
        <w:t xml:space="preserve"> </w:t>
      </w:r>
    </w:p>
    <w:p w14:paraId="0FAA0FAF" w14:textId="77777777" w:rsidR="00F34522" w:rsidRDefault="006F08A8" w:rsidP="006F08A8">
      <w:pPr>
        <w:spacing w:before="120" w:after="120" w:line="320" w:lineRule="exact"/>
        <w:jc w:val="both"/>
        <w:rPr>
          <w:sz w:val="24"/>
          <w:szCs w:val="24"/>
        </w:rPr>
      </w:pPr>
      <w:r w:rsidRPr="00451819">
        <w:rPr>
          <w:sz w:val="24"/>
          <w:szCs w:val="24"/>
        </w:rPr>
        <w:t xml:space="preserve">Popis dvojího způsobu vykazování: </w:t>
      </w:r>
    </w:p>
    <w:p w14:paraId="74F5AFAC" w14:textId="77777777" w:rsidR="00A96FBB" w:rsidRDefault="006F08A8" w:rsidP="00961057">
      <w:pPr>
        <w:pStyle w:val="Odstavecseseznamem"/>
        <w:numPr>
          <w:ilvl w:val="0"/>
          <w:numId w:val="39"/>
        </w:numPr>
        <w:spacing w:before="120" w:after="120" w:line="320" w:lineRule="exact"/>
        <w:jc w:val="both"/>
        <w:rPr>
          <w:sz w:val="24"/>
          <w:szCs w:val="24"/>
        </w:rPr>
      </w:pPr>
      <w:r w:rsidRPr="00961057">
        <w:rPr>
          <w:sz w:val="24"/>
          <w:szCs w:val="24"/>
        </w:rPr>
        <w:t>V prvním případě vykazující osoby postupují v souladu se současným zněním kontroly a identifikace pro sdružený pokyn je zahrnuta přímo v čísle pokynu R0014 ve výkazu TRAFIM30 (odpovídající pole v TRAFIM11 jsou FIM0140 a FIM0141). V tomto případě je prvních 15 znaků</w:t>
      </w:r>
      <w:r w:rsidR="00D816A7" w:rsidRPr="00961057">
        <w:rPr>
          <w:sz w:val="24"/>
          <w:szCs w:val="24"/>
        </w:rPr>
        <w:t xml:space="preserve"> čísla pokynu</w:t>
      </w:r>
      <w:r w:rsidRPr="00961057">
        <w:rPr>
          <w:sz w:val="24"/>
          <w:szCs w:val="24"/>
        </w:rPr>
        <w:t xml:space="preserve"> shodných a posledních 5 číslic se liší. </w:t>
      </w:r>
    </w:p>
    <w:p w14:paraId="749F5053" w14:textId="2779566F" w:rsidR="006F08A8" w:rsidRPr="00961057" w:rsidRDefault="006F08A8" w:rsidP="00961057">
      <w:pPr>
        <w:pStyle w:val="Odstavecseseznamem"/>
        <w:numPr>
          <w:ilvl w:val="0"/>
          <w:numId w:val="39"/>
        </w:numPr>
        <w:spacing w:before="120" w:after="120" w:line="320" w:lineRule="exact"/>
        <w:jc w:val="both"/>
        <w:rPr>
          <w:sz w:val="24"/>
          <w:szCs w:val="24"/>
        </w:rPr>
      </w:pPr>
      <w:r w:rsidRPr="00961057">
        <w:rPr>
          <w:sz w:val="24"/>
          <w:szCs w:val="24"/>
        </w:rPr>
        <w:t>V druhém případě vykazující osoby uvedou shodný identifikátor pro sdružené pokyny do pole FIM0246 přímo do TRAFIM30.</w:t>
      </w:r>
    </w:p>
    <w:p w14:paraId="180A0139" w14:textId="781D8303" w:rsidR="006F08A8" w:rsidRPr="00451819" w:rsidRDefault="006F08A8" w:rsidP="006F08A8">
      <w:pPr>
        <w:spacing w:before="120" w:after="120" w:line="320" w:lineRule="exact"/>
        <w:jc w:val="both"/>
        <w:rPr>
          <w:sz w:val="24"/>
          <w:szCs w:val="24"/>
        </w:rPr>
      </w:pPr>
      <w:r w:rsidRPr="00451819">
        <w:rPr>
          <w:sz w:val="24"/>
          <w:szCs w:val="24"/>
        </w:rPr>
        <w:t>Původní část kontrol pracuje pouze s</w:t>
      </w:r>
      <w:r w:rsidR="00FC42C9">
        <w:rPr>
          <w:sz w:val="24"/>
          <w:szCs w:val="24"/>
        </w:rPr>
        <w:t xml:space="preserve"> výkazy</w:t>
      </w:r>
      <w:r w:rsidRPr="00451819">
        <w:rPr>
          <w:sz w:val="24"/>
          <w:szCs w:val="24"/>
        </w:rPr>
        <w:t xml:space="preserve"> TRAF</w:t>
      </w:r>
      <w:r w:rsidR="00FC42C9">
        <w:rPr>
          <w:sz w:val="24"/>
          <w:szCs w:val="24"/>
        </w:rPr>
        <w:t>IM</w:t>
      </w:r>
      <w:r w:rsidRPr="00451819">
        <w:rPr>
          <w:sz w:val="24"/>
          <w:szCs w:val="24"/>
        </w:rPr>
        <w:t>10/20 a TRAF</w:t>
      </w:r>
      <w:r w:rsidR="00FC42C9">
        <w:rPr>
          <w:sz w:val="24"/>
          <w:szCs w:val="24"/>
        </w:rPr>
        <w:t>IM</w:t>
      </w:r>
      <w:r w:rsidRPr="00451819">
        <w:rPr>
          <w:sz w:val="24"/>
          <w:szCs w:val="24"/>
        </w:rPr>
        <w:t xml:space="preserve">11, zatímco </w:t>
      </w:r>
      <w:r w:rsidR="00FC42C9">
        <w:rPr>
          <w:sz w:val="24"/>
          <w:szCs w:val="24"/>
        </w:rPr>
        <w:t>nově budou obě části</w:t>
      </w:r>
      <w:r w:rsidRPr="00451819">
        <w:rPr>
          <w:sz w:val="24"/>
          <w:szCs w:val="24"/>
        </w:rPr>
        <w:t xml:space="preserve"> kontrol</w:t>
      </w:r>
      <w:r w:rsidR="00FC42C9">
        <w:rPr>
          <w:sz w:val="24"/>
          <w:szCs w:val="24"/>
        </w:rPr>
        <w:t xml:space="preserve"> pracovat</w:t>
      </w:r>
      <w:r w:rsidRPr="00451819">
        <w:rPr>
          <w:sz w:val="24"/>
          <w:szCs w:val="24"/>
        </w:rPr>
        <w:t xml:space="preserve"> </w:t>
      </w:r>
      <w:r w:rsidR="00FC42C9">
        <w:rPr>
          <w:sz w:val="24"/>
          <w:szCs w:val="24"/>
        </w:rPr>
        <w:t>i</w:t>
      </w:r>
      <w:r w:rsidRPr="00451819">
        <w:rPr>
          <w:sz w:val="24"/>
          <w:szCs w:val="24"/>
        </w:rPr>
        <w:t xml:space="preserve"> </w:t>
      </w:r>
      <w:r w:rsidR="00FC42C9">
        <w:rPr>
          <w:sz w:val="24"/>
          <w:szCs w:val="24"/>
        </w:rPr>
        <w:t>s</w:t>
      </w:r>
      <w:r w:rsidRPr="00451819">
        <w:rPr>
          <w:sz w:val="24"/>
          <w:szCs w:val="24"/>
        </w:rPr>
        <w:t xml:space="preserve"> výkaz</w:t>
      </w:r>
      <w:r w:rsidR="00FC42C9">
        <w:rPr>
          <w:sz w:val="24"/>
          <w:szCs w:val="24"/>
        </w:rPr>
        <w:t>em TRAFIM30, a to z důvodu, že o</w:t>
      </w:r>
      <w:r w:rsidRPr="00451819">
        <w:rPr>
          <w:sz w:val="24"/>
          <w:szCs w:val="24"/>
        </w:rPr>
        <w:t>bě části MVK</w:t>
      </w:r>
      <w:r w:rsidR="00FC42C9">
        <w:rPr>
          <w:sz w:val="24"/>
          <w:szCs w:val="24"/>
        </w:rPr>
        <w:t xml:space="preserve"> (původní i nová)</w:t>
      </w:r>
      <w:r w:rsidRPr="00451819">
        <w:rPr>
          <w:sz w:val="24"/>
          <w:szCs w:val="24"/>
        </w:rPr>
        <w:t xml:space="preserve"> </w:t>
      </w:r>
      <w:r w:rsidR="00BA5BED">
        <w:rPr>
          <w:sz w:val="24"/>
          <w:szCs w:val="24"/>
        </w:rPr>
        <w:t>budou</w:t>
      </w:r>
      <w:r w:rsidRPr="00451819">
        <w:rPr>
          <w:sz w:val="24"/>
          <w:szCs w:val="24"/>
        </w:rPr>
        <w:t xml:space="preserve"> </w:t>
      </w:r>
      <w:r w:rsidR="00BA5BED">
        <w:rPr>
          <w:sz w:val="24"/>
          <w:szCs w:val="24"/>
        </w:rPr>
        <w:t>rozšířeny</w:t>
      </w:r>
      <w:r w:rsidRPr="00451819">
        <w:rPr>
          <w:sz w:val="24"/>
          <w:szCs w:val="24"/>
        </w:rPr>
        <w:t xml:space="preserve"> o kontrolu shodnosti ID investičního nástroje pro jednotlivý sdružený pokyn (TRAFIM30: ISIN FIM0255/AII FIM0307/IID FIM0308/</w:t>
      </w:r>
      <w:proofErr w:type="spellStart"/>
      <w:r w:rsidRPr="00451819">
        <w:rPr>
          <w:sz w:val="24"/>
          <w:szCs w:val="24"/>
        </w:rPr>
        <w:t>Ticker</w:t>
      </w:r>
      <w:proofErr w:type="spellEnd"/>
      <w:r w:rsidRPr="00451819">
        <w:rPr>
          <w:sz w:val="24"/>
          <w:szCs w:val="24"/>
        </w:rPr>
        <w:t xml:space="preserve"> FIM0309 oproti TRAFIM10/20 ISIN FIM0065, FIM0066, TRAFIM11 AII FIM0151/IID FIM 0152/ </w:t>
      </w:r>
      <w:proofErr w:type="spellStart"/>
      <w:r w:rsidRPr="00451819">
        <w:rPr>
          <w:sz w:val="24"/>
          <w:szCs w:val="24"/>
        </w:rPr>
        <w:t>Ticker</w:t>
      </w:r>
      <w:proofErr w:type="spellEnd"/>
      <w:r w:rsidRPr="00451819">
        <w:rPr>
          <w:sz w:val="24"/>
          <w:szCs w:val="24"/>
        </w:rPr>
        <w:t xml:space="preserve"> FIM0153). </w:t>
      </w:r>
    </w:p>
    <w:p w14:paraId="52DDADB0" w14:textId="5E90A7EB" w:rsidR="006F08A8" w:rsidRPr="00451819" w:rsidRDefault="00561371" w:rsidP="006F08A8">
      <w:pPr>
        <w:spacing w:before="120" w:after="120" w:line="320" w:lineRule="exact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Návrh d</w:t>
      </w:r>
      <w:r w:rsidR="006F08A8" w:rsidRPr="00451819">
        <w:rPr>
          <w:sz w:val="24"/>
          <w:szCs w:val="24"/>
        </w:rPr>
        <w:t xml:space="preserve">efinice kontrol </w:t>
      </w:r>
      <w:r w:rsidR="00BA5BED">
        <w:rPr>
          <w:sz w:val="24"/>
          <w:szCs w:val="24"/>
        </w:rPr>
        <w:t>naleznete</w:t>
      </w:r>
      <w:r w:rsidR="006F08A8" w:rsidRPr="00451819">
        <w:rPr>
          <w:sz w:val="24"/>
          <w:szCs w:val="24"/>
        </w:rPr>
        <w:t xml:space="preserve"> v</w:t>
      </w:r>
      <w:r w:rsidR="006E7C9D">
        <w:rPr>
          <w:sz w:val="24"/>
          <w:szCs w:val="24"/>
        </w:rPr>
        <w:t> </w:t>
      </w:r>
      <w:r w:rsidR="006F08A8" w:rsidRPr="00451819">
        <w:rPr>
          <w:sz w:val="24"/>
          <w:szCs w:val="24"/>
        </w:rPr>
        <w:t>příloze</w:t>
      </w:r>
      <w:r w:rsidR="006E7C9D">
        <w:rPr>
          <w:sz w:val="24"/>
          <w:szCs w:val="24"/>
        </w:rPr>
        <w:t xml:space="preserve"> „Návrh MVK pro sdružování pokynů.xlsx“</w:t>
      </w:r>
      <w:r w:rsidR="006F08A8" w:rsidRPr="00451819">
        <w:rPr>
          <w:sz w:val="24"/>
          <w:szCs w:val="24"/>
        </w:rPr>
        <w:t xml:space="preserve">. U všech kontrol </w:t>
      </w:r>
      <w:r w:rsidR="00BA5BED">
        <w:rPr>
          <w:sz w:val="24"/>
          <w:szCs w:val="24"/>
        </w:rPr>
        <w:t xml:space="preserve">dojde ke změně </w:t>
      </w:r>
      <w:r w:rsidR="006F08A8" w:rsidRPr="00451819">
        <w:rPr>
          <w:sz w:val="24"/>
          <w:szCs w:val="24"/>
        </w:rPr>
        <w:t>typ</w:t>
      </w:r>
      <w:r w:rsidR="00BA5BED">
        <w:rPr>
          <w:sz w:val="24"/>
          <w:szCs w:val="24"/>
        </w:rPr>
        <w:t>u</w:t>
      </w:r>
      <w:r w:rsidR="006F08A8" w:rsidRPr="00451819">
        <w:rPr>
          <w:sz w:val="24"/>
          <w:szCs w:val="24"/>
        </w:rPr>
        <w:t xml:space="preserve"> závažnosti </w:t>
      </w:r>
      <w:r w:rsidR="00BA5BED">
        <w:rPr>
          <w:sz w:val="24"/>
          <w:szCs w:val="24"/>
        </w:rPr>
        <w:t xml:space="preserve">na </w:t>
      </w:r>
      <w:r w:rsidR="006F08A8" w:rsidRPr="00451819">
        <w:rPr>
          <w:sz w:val="24"/>
          <w:szCs w:val="24"/>
        </w:rPr>
        <w:t xml:space="preserve">„Závažná“, a </w:t>
      </w:r>
      <w:r w:rsidR="00BA5BED">
        <w:rPr>
          <w:sz w:val="24"/>
          <w:szCs w:val="24"/>
        </w:rPr>
        <w:t>to z důvodu, že primárně jsou kontroly</w:t>
      </w:r>
      <w:r w:rsidR="006F08A8" w:rsidRPr="00451819">
        <w:rPr>
          <w:sz w:val="24"/>
          <w:szCs w:val="24"/>
        </w:rPr>
        <w:t xml:space="preserve"> </w:t>
      </w:r>
      <w:r w:rsidR="00BA5BED">
        <w:rPr>
          <w:sz w:val="24"/>
          <w:szCs w:val="24"/>
        </w:rPr>
        <w:t>spouštěny</w:t>
      </w:r>
      <w:r w:rsidR="006F08A8" w:rsidRPr="00451819">
        <w:rPr>
          <w:sz w:val="24"/>
          <w:szCs w:val="24"/>
        </w:rPr>
        <w:t xml:space="preserve"> až při zaslání obchodu (TRAFIM10/TRAFIM20), takže by nemělo docházet k časovému nesouladu (nejdříve jsou zaslány pokyny, na které až navazují obchody).</w:t>
      </w:r>
    </w:p>
    <w:p w14:paraId="1A6642C6" w14:textId="77777777" w:rsidR="006F08A8" w:rsidRPr="00451819" w:rsidRDefault="006F08A8" w:rsidP="006F08A8">
      <w:pPr>
        <w:spacing w:before="120" w:after="120" w:line="320" w:lineRule="exact"/>
        <w:jc w:val="both"/>
        <w:rPr>
          <w:sz w:val="24"/>
          <w:szCs w:val="24"/>
        </w:rPr>
      </w:pPr>
    </w:p>
    <w:p w14:paraId="601C5D9A" w14:textId="232DC441" w:rsidR="006F08A8" w:rsidRPr="00FC42C9" w:rsidRDefault="006F08A8" w:rsidP="00FC42C9">
      <w:pPr>
        <w:pStyle w:val="Odstavecseseznamem"/>
        <w:numPr>
          <w:ilvl w:val="0"/>
          <w:numId w:val="30"/>
        </w:numPr>
        <w:spacing w:before="120" w:after="120" w:line="320" w:lineRule="exact"/>
        <w:jc w:val="both"/>
        <w:rPr>
          <w:b/>
          <w:sz w:val="24"/>
        </w:rPr>
      </w:pPr>
      <w:r w:rsidRPr="00FC42C9">
        <w:rPr>
          <w:b/>
          <w:sz w:val="24"/>
        </w:rPr>
        <w:t>Zavedení nové MVK pro pobočky zahraničních OCP:</w:t>
      </w:r>
    </w:p>
    <w:p w14:paraId="3B3FB536" w14:textId="027A3B83" w:rsidR="006F08A8" w:rsidRDefault="00BA5BED" w:rsidP="006F08A8">
      <w:pPr>
        <w:spacing w:before="120" w:after="120" w:line="320" w:lineRule="exact"/>
        <w:jc w:val="both"/>
        <w:rPr>
          <w:sz w:val="24"/>
          <w:szCs w:val="24"/>
        </w:rPr>
      </w:pPr>
      <w:r>
        <w:rPr>
          <w:sz w:val="24"/>
          <w:szCs w:val="24"/>
        </w:rPr>
        <w:t>Bude</w:t>
      </w:r>
      <w:r w:rsidR="006F08A8" w:rsidRPr="00451819">
        <w:rPr>
          <w:sz w:val="24"/>
          <w:szCs w:val="24"/>
        </w:rPr>
        <w:t xml:space="preserve"> se </w:t>
      </w:r>
      <w:r>
        <w:rPr>
          <w:sz w:val="24"/>
          <w:szCs w:val="24"/>
        </w:rPr>
        <w:t xml:space="preserve">jednat </w:t>
      </w:r>
      <w:r w:rsidR="006F08A8" w:rsidRPr="00451819">
        <w:rPr>
          <w:sz w:val="24"/>
          <w:szCs w:val="24"/>
        </w:rPr>
        <w:t>o novou MVK kontrolu, která bude určena pobočkám zahraničních OCP a bank, kteří neposílají výkaz TRAFIM10, ale informace zasílá jejich mateřská společnost přímo své dohlížející NCA. Tyto obchody jsou</w:t>
      </w:r>
      <w:r>
        <w:rPr>
          <w:sz w:val="24"/>
          <w:szCs w:val="24"/>
        </w:rPr>
        <w:t xml:space="preserve"> do ČNB</w:t>
      </w:r>
      <w:r w:rsidR="006F08A8" w:rsidRPr="00451819">
        <w:rPr>
          <w:sz w:val="24"/>
          <w:szCs w:val="24"/>
        </w:rPr>
        <w:t xml:space="preserve"> předány prostřednictvím systému výměny transakčních dat (tzv. TREM) od příslušné NCA, jíž jsou odpovídající data mateřskou společností reportována. Tato kontrola bude obdobou </w:t>
      </w:r>
      <w:r w:rsidR="00E81D78">
        <w:rPr>
          <w:sz w:val="24"/>
          <w:szCs w:val="24"/>
        </w:rPr>
        <w:t xml:space="preserve">stávající </w:t>
      </w:r>
      <w:r w:rsidR="006F08A8" w:rsidRPr="00451819">
        <w:rPr>
          <w:sz w:val="24"/>
          <w:szCs w:val="24"/>
        </w:rPr>
        <w:t>MVK kontroly 103, která je dnes pro tyto typy vykazujících osob pouze typu závažnosti „Varování“. Tyto vykazující osoby budou z MVK kontroly 103 vyřazeny a bude pro ně připravena nová kontrola. Nová MVK kontrola bude kontrolovat záznamy (doplňující data k transakčním obchodům) ve výkaze TRAFIM11 vykázané pobočkami zahraničních OCP a bank na transakční data obdržená</w:t>
      </w:r>
      <w:r w:rsidR="002B7FA8">
        <w:rPr>
          <w:sz w:val="24"/>
          <w:szCs w:val="24"/>
        </w:rPr>
        <w:t xml:space="preserve"> prostřednictvím systému TREM</w:t>
      </w:r>
      <w:r w:rsidR="006F08A8" w:rsidRPr="00451819">
        <w:rPr>
          <w:sz w:val="24"/>
          <w:szCs w:val="24"/>
        </w:rPr>
        <w:t xml:space="preserve">. </w:t>
      </w:r>
    </w:p>
    <w:p w14:paraId="001BF0F5" w14:textId="1F2B8D93" w:rsidR="00E81D78" w:rsidRDefault="00E81D78" w:rsidP="006F08A8">
      <w:pPr>
        <w:spacing w:before="120" w:after="120" w:line="320" w:lineRule="exact"/>
        <w:jc w:val="both"/>
        <w:rPr>
          <w:sz w:val="24"/>
          <w:szCs w:val="24"/>
        </w:rPr>
      </w:pPr>
      <w:r>
        <w:rPr>
          <w:sz w:val="24"/>
          <w:szCs w:val="24"/>
        </w:rPr>
        <w:t>Návrh d</w:t>
      </w:r>
      <w:r w:rsidRPr="00451819">
        <w:rPr>
          <w:sz w:val="24"/>
          <w:szCs w:val="24"/>
        </w:rPr>
        <w:t xml:space="preserve">efinice kontrol </w:t>
      </w:r>
      <w:r>
        <w:rPr>
          <w:sz w:val="24"/>
          <w:szCs w:val="24"/>
        </w:rPr>
        <w:t>naleznete</w:t>
      </w:r>
      <w:r w:rsidRPr="00451819">
        <w:rPr>
          <w:sz w:val="24"/>
          <w:szCs w:val="24"/>
        </w:rPr>
        <w:t xml:space="preserve"> v</w:t>
      </w:r>
      <w:r w:rsidR="006E7C9D">
        <w:rPr>
          <w:sz w:val="24"/>
          <w:szCs w:val="24"/>
        </w:rPr>
        <w:t> </w:t>
      </w:r>
      <w:r w:rsidRPr="00451819">
        <w:rPr>
          <w:sz w:val="24"/>
          <w:szCs w:val="24"/>
        </w:rPr>
        <w:t>příloze</w:t>
      </w:r>
      <w:r w:rsidR="006E7C9D">
        <w:rPr>
          <w:sz w:val="24"/>
          <w:szCs w:val="24"/>
        </w:rPr>
        <w:t xml:space="preserve"> „Návrh MVK pro pobočky zahraničních OCP.xlsx“</w:t>
      </w:r>
      <w:r w:rsidRPr="00451819">
        <w:rPr>
          <w:sz w:val="24"/>
          <w:szCs w:val="24"/>
        </w:rPr>
        <w:t>.</w:t>
      </w:r>
    </w:p>
    <w:p w14:paraId="4080A4D8" w14:textId="77777777" w:rsidR="00A060DE" w:rsidRDefault="00A060DE" w:rsidP="00661430">
      <w:pPr>
        <w:spacing w:before="120" w:after="120" w:line="360" w:lineRule="auto"/>
        <w:jc w:val="both"/>
        <w:rPr>
          <w:rFonts w:ascii="Cambria" w:eastAsia="Calibri" w:hAnsi="Cambria" w:cs="Times New Roman"/>
          <w:b/>
          <w:color w:val="1F497D"/>
          <w:sz w:val="26"/>
          <w:szCs w:val="26"/>
        </w:rPr>
      </w:pPr>
    </w:p>
    <w:p w14:paraId="492DF54E" w14:textId="152B7DAA" w:rsidR="00273982" w:rsidRPr="00961057" w:rsidRDefault="00273982" w:rsidP="00961057">
      <w:pPr>
        <w:pStyle w:val="Nadpis2"/>
        <w:spacing w:before="120" w:after="240" w:line="360" w:lineRule="auto"/>
        <w:jc w:val="both"/>
        <w:rPr>
          <w:rFonts w:ascii="Cambria" w:eastAsia="SimSun" w:hAnsi="Cambria" w:cs="Times New Roman"/>
          <w:b w:val="0"/>
          <w:color w:val="1F497D"/>
        </w:rPr>
      </w:pPr>
      <w:r w:rsidRPr="00961057">
        <w:rPr>
          <w:rFonts w:ascii="Cambria" w:eastAsia="SimSun" w:hAnsi="Cambria" w:cs="Times New Roman"/>
          <w:color w:val="1F497D"/>
        </w:rPr>
        <w:t>Výkaznictví poskytovatelů služeb skupinového financování</w:t>
      </w:r>
    </w:p>
    <w:p w14:paraId="4D97B166" w14:textId="49CEA935" w:rsidR="00FF236A" w:rsidRPr="006E7C9D" w:rsidRDefault="00FF236A" w:rsidP="006E7C9D">
      <w:pPr>
        <w:spacing w:before="120" w:after="120" w:line="320" w:lineRule="exact"/>
        <w:jc w:val="both"/>
        <w:rPr>
          <w:b/>
          <w:sz w:val="24"/>
        </w:rPr>
      </w:pPr>
      <w:r w:rsidRPr="006E7C9D">
        <w:rPr>
          <w:b/>
          <w:sz w:val="24"/>
        </w:rPr>
        <w:t>Úprava výkazu CRF01 (ČNB) 01-01</w:t>
      </w:r>
    </w:p>
    <w:p w14:paraId="7CB61861" w14:textId="5A0B3299" w:rsidR="00FF236A" w:rsidRPr="00FF236A" w:rsidRDefault="00781FEF" w:rsidP="00FF236A">
      <w:pPr>
        <w:jc w:val="both"/>
        <w:rPr>
          <w:sz w:val="24"/>
          <w:szCs w:val="24"/>
        </w:rPr>
      </w:pPr>
      <w:r>
        <w:rPr>
          <w:sz w:val="24"/>
          <w:szCs w:val="24"/>
        </w:rPr>
        <w:t>Pro v</w:t>
      </w:r>
      <w:r w:rsidR="00FF236A" w:rsidRPr="00FF236A">
        <w:rPr>
          <w:sz w:val="24"/>
          <w:szCs w:val="24"/>
        </w:rPr>
        <w:t>ýkaz CRFEU01</w:t>
      </w:r>
      <w:r w:rsidR="00FF236A">
        <w:rPr>
          <w:sz w:val="24"/>
          <w:szCs w:val="24"/>
        </w:rPr>
        <w:t xml:space="preserve"> </w:t>
      </w:r>
      <w:r w:rsidR="00FF236A" w:rsidRPr="00FF236A">
        <w:rPr>
          <w:sz w:val="24"/>
          <w:szCs w:val="24"/>
        </w:rPr>
        <w:t xml:space="preserve">CRF01 (ČNB) 01-01 „Crowdfunding“ </w:t>
      </w:r>
      <w:r w:rsidRPr="00FF236A">
        <w:rPr>
          <w:sz w:val="24"/>
          <w:szCs w:val="24"/>
        </w:rPr>
        <w:t xml:space="preserve">bude </w:t>
      </w:r>
      <w:r>
        <w:rPr>
          <w:sz w:val="24"/>
          <w:szCs w:val="24"/>
        </w:rPr>
        <w:t>v</w:t>
      </w:r>
      <w:r w:rsidRPr="00FF236A">
        <w:rPr>
          <w:sz w:val="24"/>
          <w:szCs w:val="24"/>
        </w:rPr>
        <w:t xml:space="preserve"> </w:t>
      </w:r>
      <w:r w:rsidR="00FF236A" w:rsidRPr="00FF236A">
        <w:rPr>
          <w:sz w:val="24"/>
          <w:szCs w:val="24"/>
        </w:rPr>
        <w:t xml:space="preserve">metodice KT20260101 implementována nová verze statistické klasifikace ekonomických činností NACE </w:t>
      </w:r>
      <w:proofErr w:type="spellStart"/>
      <w:r w:rsidR="00FF236A" w:rsidRPr="00FF236A">
        <w:rPr>
          <w:sz w:val="24"/>
          <w:szCs w:val="24"/>
        </w:rPr>
        <w:t>Rev</w:t>
      </w:r>
      <w:proofErr w:type="spellEnd"/>
      <w:r w:rsidR="00FF236A" w:rsidRPr="00FF236A">
        <w:rPr>
          <w:sz w:val="24"/>
          <w:szCs w:val="24"/>
        </w:rPr>
        <w:t xml:space="preserve">. 2.1, místo současného číselníku BA0051 bude zaveden zcela nový číselník. </w:t>
      </w:r>
    </w:p>
    <w:p w14:paraId="24CFF3EE" w14:textId="77777777" w:rsidR="00BF07EF" w:rsidRDefault="00BF07EF" w:rsidP="00BF07EF">
      <w:pPr>
        <w:pStyle w:val="Bezmezer"/>
      </w:pPr>
      <w:r>
        <w:rPr>
          <w:sz w:val="24"/>
          <w:szCs w:val="24"/>
        </w:rPr>
        <w:t xml:space="preserve">Zavedení nové verze NACE </w:t>
      </w:r>
      <w:proofErr w:type="spellStart"/>
      <w:r>
        <w:rPr>
          <w:sz w:val="24"/>
          <w:szCs w:val="24"/>
        </w:rPr>
        <w:t>Rev</w:t>
      </w:r>
      <w:proofErr w:type="spellEnd"/>
      <w:r>
        <w:rPr>
          <w:sz w:val="24"/>
          <w:szCs w:val="24"/>
        </w:rPr>
        <w:t>. 2.1 bude zavedeno do sběru dat od 1. 1. 2026.</w:t>
      </w:r>
    </w:p>
    <w:p w14:paraId="2CABC571" w14:textId="134E3034" w:rsidR="004E7A32" w:rsidRDefault="004E7A32" w:rsidP="00961057">
      <w:pPr>
        <w:pStyle w:val="Bezmezer"/>
      </w:pPr>
    </w:p>
    <w:p w14:paraId="399BF243" w14:textId="25BCE394" w:rsidR="00AA2CCF" w:rsidRDefault="00AA2CCF" w:rsidP="00961057">
      <w:pPr>
        <w:pStyle w:val="Bezmezer"/>
      </w:pPr>
    </w:p>
    <w:p w14:paraId="5A7371DE" w14:textId="77777777" w:rsidR="00AA2CCF" w:rsidRDefault="00AA2CCF" w:rsidP="00961057">
      <w:pPr>
        <w:pStyle w:val="Bezmezer"/>
      </w:pPr>
    </w:p>
    <w:p w14:paraId="341B9F7D" w14:textId="77777777" w:rsidR="0094490A" w:rsidRDefault="0094490A" w:rsidP="0094490A">
      <w:pPr>
        <w:spacing w:before="120" w:after="120" w:line="320" w:lineRule="exact"/>
        <w:jc w:val="both"/>
        <w:rPr>
          <w:rFonts w:ascii="Cambria" w:eastAsia="SimSun" w:hAnsi="Cambria" w:cstheme="majorBidi"/>
          <w:b/>
          <w:color w:val="2E74B5" w:themeColor="accent1" w:themeShade="BF"/>
          <w:sz w:val="32"/>
          <w:szCs w:val="32"/>
        </w:rPr>
      </w:pPr>
      <w:r w:rsidRPr="00787127">
        <w:rPr>
          <w:rFonts w:ascii="Cambria" w:eastAsia="SimSun" w:hAnsi="Cambria" w:cstheme="majorBidi"/>
          <w:b/>
          <w:color w:val="2E74B5" w:themeColor="accent1" w:themeShade="BF"/>
          <w:sz w:val="32"/>
          <w:szCs w:val="32"/>
        </w:rPr>
        <w:t>Informace k nařízení EMIR 3 (EU č. 2024/2987)</w:t>
      </w:r>
      <w:r w:rsidRPr="00787127" w:rsidDel="00641C8C">
        <w:rPr>
          <w:rFonts w:ascii="Cambria" w:eastAsia="SimSun" w:hAnsi="Cambria" w:cstheme="majorBidi"/>
          <w:b/>
          <w:color w:val="2E74B5" w:themeColor="accent1" w:themeShade="BF"/>
          <w:sz w:val="32"/>
          <w:szCs w:val="32"/>
        </w:rPr>
        <w:t xml:space="preserve"> </w:t>
      </w:r>
      <w:r w:rsidRPr="00787127">
        <w:rPr>
          <w:rFonts w:ascii="Cambria" w:eastAsia="SimSun" w:hAnsi="Cambria" w:cstheme="majorBidi"/>
          <w:b/>
          <w:color w:val="2E74B5" w:themeColor="accent1" w:themeShade="BF"/>
          <w:sz w:val="32"/>
          <w:szCs w:val="32"/>
        </w:rPr>
        <w:t>měnící nařízení EU č. 648/2012)</w:t>
      </w:r>
    </w:p>
    <w:p w14:paraId="22C24B97" w14:textId="77777777" w:rsidR="0094490A" w:rsidRPr="00787127" w:rsidRDefault="0094490A" w:rsidP="0094490A">
      <w:pPr>
        <w:spacing w:before="120" w:after="120" w:line="320" w:lineRule="exact"/>
        <w:jc w:val="both"/>
        <w:rPr>
          <w:rFonts w:ascii="Cambria" w:eastAsia="SimSun" w:hAnsi="Cambria" w:cstheme="majorBidi"/>
          <w:b/>
          <w:color w:val="2E74B5" w:themeColor="accent1" w:themeShade="BF"/>
          <w:sz w:val="32"/>
          <w:szCs w:val="32"/>
        </w:rPr>
      </w:pPr>
    </w:p>
    <w:p w14:paraId="12DA96C8" w14:textId="77777777" w:rsidR="0094490A" w:rsidRPr="003D25B5" w:rsidRDefault="0094490A" w:rsidP="0094490A">
      <w:pPr>
        <w:jc w:val="both"/>
        <w:rPr>
          <w:sz w:val="24"/>
          <w:szCs w:val="24"/>
        </w:rPr>
      </w:pPr>
      <w:r w:rsidRPr="003D25B5">
        <w:rPr>
          <w:sz w:val="24"/>
          <w:szCs w:val="24"/>
        </w:rPr>
        <w:t>EMIR 3 byl zveřejněn 4. prosince 2024 a vstoupil v platnost 24. prosince 2024.</w:t>
      </w:r>
    </w:p>
    <w:p w14:paraId="66D72F9A" w14:textId="77777777" w:rsidR="0094490A" w:rsidRPr="003D25B5" w:rsidRDefault="0094490A" w:rsidP="0094490A">
      <w:pPr>
        <w:jc w:val="both"/>
        <w:rPr>
          <w:sz w:val="24"/>
          <w:szCs w:val="24"/>
        </w:rPr>
      </w:pPr>
      <w:r w:rsidRPr="003D25B5">
        <w:rPr>
          <w:sz w:val="24"/>
          <w:szCs w:val="24"/>
        </w:rPr>
        <w:t>EMIR 3 přináší významné změny, včetně požadavku na aktivní účet (AAR), který vyžaduje, aby určité finanční a nefinanční protistrany, které mají povinnost clearingu podle článku 7a EMIR nebo překračují clearingový práh, měly aktivní účet u ústřední protistrany (CCP) v EU pro specifické derivátové kontrakty.</w:t>
      </w:r>
    </w:p>
    <w:p w14:paraId="684A0295" w14:textId="77777777" w:rsidR="0094490A" w:rsidRPr="003D25B5" w:rsidRDefault="0094490A" w:rsidP="0094490A">
      <w:pPr>
        <w:jc w:val="both"/>
        <w:rPr>
          <w:sz w:val="24"/>
          <w:szCs w:val="24"/>
        </w:rPr>
      </w:pPr>
      <w:r w:rsidRPr="003D25B5">
        <w:rPr>
          <w:sz w:val="24"/>
          <w:szCs w:val="24"/>
        </w:rPr>
        <w:t>Co se předkládá v souvislosti s AAR:</w:t>
      </w:r>
    </w:p>
    <w:p w14:paraId="7A51ED96" w14:textId="011D7BC6" w:rsidR="0094490A" w:rsidRPr="003D25B5" w:rsidRDefault="0094490A" w:rsidP="00603774">
      <w:pPr>
        <w:pStyle w:val="Odstavecseseznamem"/>
        <w:numPr>
          <w:ilvl w:val="0"/>
          <w:numId w:val="42"/>
        </w:numPr>
        <w:jc w:val="both"/>
        <w:rPr>
          <w:sz w:val="24"/>
          <w:szCs w:val="24"/>
        </w:rPr>
      </w:pPr>
      <w:r w:rsidRPr="003D25B5">
        <w:rPr>
          <w:b/>
          <w:sz w:val="24"/>
          <w:szCs w:val="24"/>
        </w:rPr>
        <w:lastRenderedPageBreak/>
        <w:t>Článek 7a, odst. 1 EMIR:</w:t>
      </w:r>
      <w:r w:rsidRPr="003D25B5">
        <w:rPr>
          <w:sz w:val="24"/>
          <w:szCs w:val="24"/>
        </w:rPr>
        <w:t xml:space="preserve"> Paralelní oznámení o povinnosti vedení aktivního účtu dohledovému orgánu (NCA) a ESMA, počínaje koncem roku 2024. Oznámení ČNB se zasílá na adresu </w:t>
      </w:r>
      <w:hyperlink r:id="rId15" w:history="1">
        <w:r w:rsidRPr="003D25B5">
          <w:rPr>
            <w:rStyle w:val="Hypertextovodkaz"/>
            <w:sz w:val="24"/>
            <w:szCs w:val="24"/>
          </w:rPr>
          <w:t>emir@cnb.cz</w:t>
        </w:r>
      </w:hyperlink>
      <w:r w:rsidRPr="003D25B5">
        <w:rPr>
          <w:sz w:val="24"/>
          <w:szCs w:val="24"/>
        </w:rPr>
        <w:t xml:space="preserve">. Použije se jednotný formulář </w:t>
      </w:r>
      <w:hyperlink r:id="rId16" w:history="1">
        <w:r w:rsidRPr="003D25B5">
          <w:rPr>
            <w:rStyle w:val="Hypertextovodkaz"/>
            <w:sz w:val="24"/>
            <w:szCs w:val="24"/>
          </w:rPr>
          <w:t>v </w:t>
        </w:r>
        <w:proofErr w:type="spellStart"/>
        <w:r w:rsidRPr="003D25B5">
          <w:rPr>
            <w:rStyle w:val="Hypertextovodkaz"/>
            <w:sz w:val="24"/>
            <w:szCs w:val="24"/>
          </w:rPr>
          <w:t>excel</w:t>
        </w:r>
        <w:proofErr w:type="spellEnd"/>
      </w:hyperlink>
      <w:r w:rsidRPr="003D25B5">
        <w:rPr>
          <w:sz w:val="24"/>
          <w:szCs w:val="24"/>
        </w:rPr>
        <w:t>.</w:t>
      </w:r>
    </w:p>
    <w:p w14:paraId="34147D11" w14:textId="77777777" w:rsidR="0094490A" w:rsidRPr="003D25B5" w:rsidRDefault="0094490A" w:rsidP="0094490A">
      <w:pPr>
        <w:pStyle w:val="Odstavecseseznamem"/>
        <w:spacing w:after="160" w:line="259" w:lineRule="auto"/>
        <w:jc w:val="both"/>
        <w:rPr>
          <w:sz w:val="24"/>
          <w:szCs w:val="24"/>
        </w:rPr>
      </w:pPr>
    </w:p>
    <w:p w14:paraId="110ECC78" w14:textId="202A8D36" w:rsidR="0094490A" w:rsidRPr="003D25B5" w:rsidRDefault="0094490A" w:rsidP="0094490A">
      <w:pPr>
        <w:pStyle w:val="Odstavecseseznamem"/>
        <w:numPr>
          <w:ilvl w:val="0"/>
          <w:numId w:val="42"/>
        </w:numPr>
        <w:spacing w:after="160" w:line="259" w:lineRule="auto"/>
        <w:jc w:val="both"/>
        <w:rPr>
          <w:sz w:val="24"/>
          <w:szCs w:val="24"/>
        </w:rPr>
      </w:pPr>
      <w:r w:rsidRPr="003D25B5">
        <w:rPr>
          <w:b/>
          <w:sz w:val="24"/>
          <w:szCs w:val="24"/>
        </w:rPr>
        <w:t xml:space="preserve">Článek 7b EMIR: </w:t>
      </w:r>
      <w:r w:rsidRPr="003D25B5">
        <w:rPr>
          <w:sz w:val="24"/>
          <w:szCs w:val="24"/>
        </w:rPr>
        <w:t xml:space="preserve">Pro účely splnění povinnosti aktivního účtu musejí protistrany </w:t>
      </w:r>
      <w:r w:rsidRPr="003D25B5">
        <w:rPr>
          <w:b/>
          <w:sz w:val="24"/>
          <w:szCs w:val="24"/>
        </w:rPr>
        <w:t>každých šest měsíců</w:t>
      </w:r>
      <w:r w:rsidRPr="003D25B5">
        <w:rPr>
          <w:sz w:val="24"/>
          <w:szCs w:val="24"/>
        </w:rPr>
        <w:t xml:space="preserve"> reportovat své aktivity a riziková expozice v příslušných kategoriích derivátů svému orgánu dohledu (NCA), a další např. kvalitativní informace</w:t>
      </w:r>
      <w:r w:rsidRPr="00781FEF">
        <w:rPr>
          <w:sz w:val="24"/>
          <w:szCs w:val="24"/>
        </w:rPr>
        <w:t xml:space="preserve">. </w:t>
      </w:r>
      <w:r w:rsidRPr="00603774">
        <w:rPr>
          <w:sz w:val="24"/>
          <w:szCs w:val="24"/>
        </w:rPr>
        <w:t>Tato data a informace dále sdílí NCA s ESMA</w:t>
      </w:r>
      <w:r w:rsidRPr="00781FEF">
        <w:rPr>
          <w:sz w:val="24"/>
          <w:szCs w:val="24"/>
        </w:rPr>
        <w:t>.</w:t>
      </w:r>
      <w:r w:rsidRPr="003D25B5">
        <w:rPr>
          <w:sz w:val="24"/>
          <w:szCs w:val="24"/>
        </w:rPr>
        <w:t xml:space="preserve"> Technické normy jsou v současnosti ve fázi finalizace</w:t>
      </w:r>
      <w:r w:rsidRPr="003D25B5">
        <w:rPr>
          <w:b/>
          <w:sz w:val="24"/>
          <w:szCs w:val="24"/>
        </w:rPr>
        <w:t>. První reporty se očekávají v 1Q 2026</w:t>
      </w:r>
      <w:r w:rsidR="009D06F3">
        <w:rPr>
          <w:sz w:val="24"/>
          <w:szCs w:val="24"/>
        </w:rPr>
        <w:t>.</w:t>
      </w:r>
      <w:r w:rsidRPr="003D25B5">
        <w:rPr>
          <w:sz w:val="24"/>
          <w:szCs w:val="24"/>
        </w:rPr>
        <w:t xml:space="preserve"> Formátem bude nejpravděpodobněji Excel. </w:t>
      </w:r>
    </w:p>
    <w:p w14:paraId="7FC6E285" w14:textId="77777777" w:rsidR="0094490A" w:rsidRPr="003D25B5" w:rsidRDefault="0094490A" w:rsidP="0094490A">
      <w:pPr>
        <w:jc w:val="both"/>
        <w:rPr>
          <w:sz w:val="24"/>
          <w:szCs w:val="24"/>
        </w:rPr>
      </w:pPr>
      <w:r w:rsidRPr="003D25B5">
        <w:rPr>
          <w:sz w:val="24"/>
          <w:szCs w:val="24"/>
        </w:rPr>
        <w:t>Dále se předkládají tato významná oznámení:</w:t>
      </w:r>
    </w:p>
    <w:p w14:paraId="0BECFABC" w14:textId="2DFC5BC0" w:rsidR="0094490A" w:rsidRPr="003D25B5" w:rsidRDefault="0094490A" w:rsidP="0094490A">
      <w:pPr>
        <w:pStyle w:val="Odstavecseseznamem"/>
        <w:numPr>
          <w:ilvl w:val="0"/>
          <w:numId w:val="43"/>
        </w:numPr>
        <w:spacing w:after="160" w:line="259" w:lineRule="auto"/>
        <w:jc w:val="both"/>
        <w:rPr>
          <w:b/>
          <w:sz w:val="24"/>
          <w:szCs w:val="24"/>
        </w:rPr>
      </w:pPr>
      <w:r w:rsidRPr="003D25B5">
        <w:rPr>
          <w:b/>
          <w:sz w:val="24"/>
          <w:szCs w:val="24"/>
        </w:rPr>
        <w:t xml:space="preserve">Článek 9, odst. 1 EMIR: </w:t>
      </w:r>
      <w:r w:rsidRPr="003D25B5">
        <w:rPr>
          <w:sz w:val="24"/>
          <w:szCs w:val="24"/>
        </w:rPr>
        <w:t xml:space="preserve">Pokud je NFC+ součástí skupiny, která těží z výjimky z povinnosti podávat </w:t>
      </w:r>
      <w:proofErr w:type="spellStart"/>
      <w:r w:rsidRPr="003D25B5">
        <w:rPr>
          <w:sz w:val="24"/>
          <w:szCs w:val="24"/>
        </w:rPr>
        <w:t>intraskupinové</w:t>
      </w:r>
      <w:proofErr w:type="spellEnd"/>
      <w:r w:rsidRPr="003D25B5">
        <w:rPr>
          <w:sz w:val="24"/>
          <w:szCs w:val="24"/>
        </w:rPr>
        <w:t xml:space="preserve"> reporty, pak existuje nově povinnost, aby mateřský podnik této NFC+ v rámci EU reportoval své NCA čisté agregované pozice v jednotlivých třídách derivátů týkajících se této protistrany. </w:t>
      </w:r>
      <w:r w:rsidRPr="00603774">
        <w:rPr>
          <w:sz w:val="24"/>
          <w:szCs w:val="24"/>
        </w:rPr>
        <w:t>NCA mateřského podniku dále sdílí tyto informace s ESMA a NCA dané protistrany v EU</w:t>
      </w:r>
      <w:r w:rsidRPr="00781FEF">
        <w:rPr>
          <w:sz w:val="24"/>
          <w:szCs w:val="24"/>
        </w:rPr>
        <w:t>.</w:t>
      </w:r>
      <w:r w:rsidRPr="003D25B5">
        <w:rPr>
          <w:sz w:val="24"/>
          <w:szCs w:val="24"/>
        </w:rPr>
        <w:t xml:space="preserve"> Reporting probíhá </w:t>
      </w:r>
      <w:r w:rsidRPr="003D25B5">
        <w:rPr>
          <w:b/>
          <w:sz w:val="24"/>
          <w:szCs w:val="24"/>
        </w:rPr>
        <w:t>na týdenní bázi</w:t>
      </w:r>
      <w:r w:rsidRPr="003D25B5">
        <w:rPr>
          <w:sz w:val="24"/>
          <w:szCs w:val="24"/>
        </w:rPr>
        <w:t xml:space="preserve">, </w:t>
      </w:r>
      <w:r w:rsidRPr="003D25B5">
        <w:rPr>
          <w:b/>
          <w:sz w:val="24"/>
          <w:szCs w:val="24"/>
        </w:rPr>
        <w:t xml:space="preserve">počínaje konce roku 2024. </w:t>
      </w:r>
      <w:r w:rsidRPr="00603774">
        <w:rPr>
          <w:sz w:val="24"/>
          <w:szCs w:val="24"/>
        </w:rPr>
        <w:t xml:space="preserve">Informace se zasílají na </w:t>
      </w:r>
      <w:hyperlink r:id="rId17" w:history="1">
        <w:r w:rsidR="00781FEF" w:rsidRPr="00603774">
          <w:rPr>
            <w:rStyle w:val="Hypertextovodkaz"/>
            <w:sz w:val="24"/>
            <w:szCs w:val="24"/>
          </w:rPr>
          <w:t>emir@cnb.cz</w:t>
        </w:r>
      </w:hyperlink>
      <w:r w:rsidRPr="003D25B5">
        <w:rPr>
          <w:sz w:val="24"/>
          <w:szCs w:val="24"/>
        </w:rPr>
        <w:t xml:space="preserve"> (</w:t>
      </w:r>
      <w:hyperlink r:id="rId18" w:history="1">
        <w:r w:rsidRPr="003D25B5">
          <w:rPr>
            <w:rStyle w:val="Hypertextovodkaz"/>
            <w:sz w:val="24"/>
            <w:szCs w:val="24"/>
          </w:rPr>
          <w:t>Oznámení podle čl. 9(1) nařízení EMIR o čistých celkových pozicích v členění podle kategorie derivátů</w:t>
        </w:r>
      </w:hyperlink>
      <w:r w:rsidRPr="003D25B5">
        <w:rPr>
          <w:sz w:val="24"/>
          <w:szCs w:val="24"/>
        </w:rPr>
        <w:t xml:space="preserve">). </w:t>
      </w:r>
    </w:p>
    <w:p w14:paraId="1D5BBFDD" w14:textId="77777777" w:rsidR="0094490A" w:rsidRPr="003D25B5" w:rsidRDefault="0094490A" w:rsidP="0094490A">
      <w:pPr>
        <w:pStyle w:val="Odstavecseseznamem"/>
        <w:rPr>
          <w:sz w:val="24"/>
          <w:szCs w:val="24"/>
        </w:rPr>
      </w:pPr>
    </w:p>
    <w:p w14:paraId="63DC3249" w14:textId="0E8AE92E" w:rsidR="0094490A" w:rsidRPr="003D25B5" w:rsidRDefault="0094490A" w:rsidP="0094490A">
      <w:pPr>
        <w:pStyle w:val="Odstavecseseznamem"/>
        <w:numPr>
          <w:ilvl w:val="0"/>
          <w:numId w:val="43"/>
        </w:numPr>
        <w:spacing w:after="160" w:line="259" w:lineRule="auto"/>
        <w:jc w:val="both"/>
        <w:rPr>
          <w:b/>
          <w:sz w:val="24"/>
          <w:szCs w:val="24"/>
        </w:rPr>
      </w:pPr>
      <w:r w:rsidRPr="003D25B5">
        <w:rPr>
          <w:b/>
          <w:sz w:val="24"/>
          <w:szCs w:val="24"/>
        </w:rPr>
        <w:t xml:space="preserve">Článek 7d EMIR: </w:t>
      </w:r>
      <w:r w:rsidRPr="00603774">
        <w:rPr>
          <w:sz w:val="24"/>
          <w:szCs w:val="24"/>
        </w:rPr>
        <w:t>Členové clearingového systému a klienti, kteří provádějí clearing přes uznané CCP musí</w:t>
      </w:r>
      <w:r w:rsidRPr="003D25B5">
        <w:rPr>
          <w:b/>
          <w:sz w:val="24"/>
          <w:szCs w:val="24"/>
        </w:rPr>
        <w:t xml:space="preserve"> jednou ročně </w:t>
      </w:r>
      <w:r w:rsidRPr="00603774">
        <w:rPr>
          <w:sz w:val="24"/>
          <w:szCs w:val="24"/>
        </w:rPr>
        <w:t>oznamovat údaje o této činnosti své NCA</w:t>
      </w:r>
      <w:r w:rsidRPr="00781FEF">
        <w:rPr>
          <w:sz w:val="24"/>
          <w:szCs w:val="24"/>
        </w:rPr>
        <w:t>.</w:t>
      </w:r>
      <w:r w:rsidRPr="003D25B5">
        <w:rPr>
          <w:sz w:val="24"/>
          <w:szCs w:val="24"/>
        </w:rPr>
        <w:t xml:space="preserve"> Příslušné NCAs tyto informace neprodleně předají ESMA a společnému monitorovacímu mechanismu. ESMA do 25. 12. 2025 stanoví obsah, detail a formát těchto hlášení prostřednictvím technických norem</w:t>
      </w:r>
      <w:r w:rsidRPr="003D25B5">
        <w:rPr>
          <w:b/>
          <w:sz w:val="24"/>
          <w:szCs w:val="24"/>
        </w:rPr>
        <w:t xml:space="preserve">. </w:t>
      </w:r>
    </w:p>
    <w:p w14:paraId="118212C8" w14:textId="77777777" w:rsidR="0094490A" w:rsidRPr="003D25B5" w:rsidRDefault="0094490A" w:rsidP="0094490A">
      <w:pPr>
        <w:pStyle w:val="Odstavecseseznamem"/>
        <w:rPr>
          <w:b/>
          <w:sz w:val="24"/>
          <w:szCs w:val="24"/>
        </w:rPr>
      </w:pPr>
    </w:p>
    <w:p w14:paraId="46174A96" w14:textId="77777777" w:rsidR="0094490A" w:rsidRPr="003D25B5" w:rsidRDefault="0094490A" w:rsidP="0094490A">
      <w:pPr>
        <w:pStyle w:val="Odstavecseseznamem"/>
        <w:numPr>
          <w:ilvl w:val="0"/>
          <w:numId w:val="43"/>
        </w:numPr>
        <w:spacing w:after="160" w:line="259" w:lineRule="auto"/>
        <w:jc w:val="both"/>
        <w:rPr>
          <w:sz w:val="24"/>
          <w:szCs w:val="24"/>
        </w:rPr>
      </w:pPr>
      <w:r w:rsidRPr="003D25B5">
        <w:rPr>
          <w:b/>
          <w:sz w:val="24"/>
          <w:szCs w:val="24"/>
        </w:rPr>
        <w:t xml:space="preserve">Článek 7e EMIR: </w:t>
      </w:r>
      <w:r w:rsidRPr="003D25B5">
        <w:rPr>
          <w:sz w:val="24"/>
          <w:szCs w:val="24"/>
        </w:rPr>
        <w:t xml:space="preserve">Povolené Ústřední protistrany (CCP) z EU oznamují </w:t>
      </w:r>
      <w:r w:rsidRPr="003D25B5">
        <w:rPr>
          <w:b/>
          <w:sz w:val="24"/>
          <w:szCs w:val="24"/>
        </w:rPr>
        <w:t>každý měsíc ESMA prostřednictvím centrální databáze informace</w:t>
      </w:r>
      <w:r w:rsidRPr="003D25B5">
        <w:rPr>
          <w:sz w:val="24"/>
          <w:szCs w:val="24"/>
        </w:rPr>
        <w:t xml:space="preserve"> o objemech a hodnotách </w:t>
      </w:r>
      <w:proofErr w:type="spellStart"/>
      <w:r w:rsidRPr="003D25B5">
        <w:rPr>
          <w:sz w:val="24"/>
          <w:szCs w:val="24"/>
        </w:rPr>
        <w:t>clearovaných</w:t>
      </w:r>
      <w:proofErr w:type="spellEnd"/>
      <w:r w:rsidRPr="003D25B5">
        <w:rPr>
          <w:sz w:val="24"/>
          <w:szCs w:val="24"/>
        </w:rPr>
        <w:t xml:space="preserve"> obchodů (dle měny a aktiv), investicích, kapitálu, maržích atd. Podrobnosti formátu a obsahu zpráv určí ESMA do 25. 12. 2025 prostřednictvím technických norem. Neregistrujeme v současnosti žádnou CCP usazenou v ČR.</w:t>
      </w:r>
    </w:p>
    <w:p w14:paraId="069544B9" w14:textId="77777777" w:rsidR="0094490A" w:rsidRDefault="0094490A" w:rsidP="0094490A">
      <w:pPr>
        <w:spacing w:before="120" w:after="120" w:line="320" w:lineRule="exact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Veškeré aktuální informace naleznete na </w:t>
      </w:r>
      <w:hyperlink r:id="rId19" w:history="1">
        <w:r w:rsidRPr="00B452C0">
          <w:rPr>
            <w:rStyle w:val="Hypertextovodkaz"/>
            <w:sz w:val="24"/>
            <w:szCs w:val="24"/>
          </w:rPr>
          <w:t>stránkách ČNB</w:t>
        </w:r>
      </w:hyperlink>
      <w:r>
        <w:rPr>
          <w:sz w:val="24"/>
          <w:szCs w:val="24"/>
        </w:rPr>
        <w:t xml:space="preserve">, v záložce Požadavky nařízení EMIR. </w:t>
      </w:r>
    </w:p>
    <w:p w14:paraId="54C2577E" w14:textId="38DFEBD4" w:rsidR="004E7A32" w:rsidRDefault="004E7A32" w:rsidP="004E7A32">
      <w:pPr>
        <w:spacing w:before="120" w:after="120" w:line="320" w:lineRule="exact"/>
        <w:jc w:val="both"/>
        <w:rPr>
          <w:sz w:val="24"/>
          <w:szCs w:val="24"/>
        </w:rPr>
      </w:pPr>
    </w:p>
    <w:p w14:paraId="5915A903" w14:textId="7F348BAC" w:rsidR="00586D89" w:rsidRPr="00F37E61" w:rsidRDefault="00F37E61" w:rsidP="00586D89">
      <w:pPr>
        <w:pStyle w:val="Nadpis1"/>
        <w:jc w:val="both"/>
        <w:rPr>
          <w:rFonts w:ascii="Cambria" w:eastAsia="SimSun" w:hAnsi="Cambria"/>
          <w:b/>
        </w:rPr>
      </w:pPr>
      <w:r w:rsidRPr="00F37E61">
        <w:rPr>
          <w:rFonts w:ascii="Cambria" w:eastAsia="SimSun" w:hAnsi="Cambria"/>
          <w:b/>
        </w:rPr>
        <w:t>Informační povinnosti mimo dohledovou, měnovou a finanční statistiku</w:t>
      </w:r>
    </w:p>
    <w:p w14:paraId="2F01C1F7" w14:textId="77777777" w:rsidR="00586D89" w:rsidRPr="001E0C33" w:rsidRDefault="00586D89" w:rsidP="00586D89"/>
    <w:p w14:paraId="717AED74" w14:textId="77777777" w:rsidR="00586D89" w:rsidRDefault="00586D89" w:rsidP="00586D89">
      <w:pPr>
        <w:keepNext/>
        <w:keepLines/>
        <w:spacing w:before="120" w:line="320" w:lineRule="exact"/>
        <w:jc w:val="both"/>
        <w:outlineLvl w:val="1"/>
        <w:rPr>
          <w:rFonts w:ascii="Cambria" w:eastAsia="SimSun" w:hAnsi="Cambria" w:cs="Times New Roman"/>
          <w:b/>
          <w:bCs/>
          <w:color w:val="1F497D"/>
          <w:sz w:val="26"/>
          <w:szCs w:val="26"/>
        </w:rPr>
      </w:pPr>
      <w:r>
        <w:rPr>
          <w:rFonts w:ascii="Cambria" w:eastAsia="SimSun" w:hAnsi="Cambria" w:cs="Times New Roman"/>
          <w:b/>
          <w:bCs/>
          <w:color w:val="1F497D"/>
          <w:sz w:val="26"/>
          <w:szCs w:val="26"/>
        </w:rPr>
        <w:t>Výkaznictví</w:t>
      </w:r>
      <w:r w:rsidRPr="00116625">
        <w:rPr>
          <w:rFonts w:ascii="Cambria" w:eastAsia="SimSun" w:hAnsi="Cambria" w:cs="Times New Roman"/>
          <w:b/>
          <w:bCs/>
          <w:color w:val="1F497D"/>
          <w:sz w:val="26"/>
          <w:szCs w:val="26"/>
        </w:rPr>
        <w:t xml:space="preserve"> </w:t>
      </w:r>
      <w:r>
        <w:rPr>
          <w:rFonts w:ascii="Cambria" w:eastAsia="SimSun" w:hAnsi="Cambria" w:cs="Times New Roman"/>
          <w:b/>
          <w:bCs/>
          <w:color w:val="1F497D"/>
          <w:sz w:val="26"/>
          <w:szCs w:val="26"/>
        </w:rPr>
        <w:t xml:space="preserve">dle </w:t>
      </w:r>
      <w:r w:rsidRPr="00116625">
        <w:rPr>
          <w:rFonts w:ascii="Cambria" w:eastAsia="SimSun" w:hAnsi="Cambria" w:cs="Times New Roman"/>
          <w:b/>
          <w:bCs/>
          <w:color w:val="1F497D"/>
          <w:sz w:val="26"/>
          <w:szCs w:val="26"/>
        </w:rPr>
        <w:t xml:space="preserve">DORA </w:t>
      </w:r>
    </w:p>
    <w:p w14:paraId="13F47B59" w14:textId="77777777" w:rsidR="00586D89" w:rsidRPr="0097516D" w:rsidRDefault="00586D89" w:rsidP="00586D89">
      <w:pPr>
        <w:spacing w:before="120" w:line="320" w:lineRule="exact"/>
        <w:jc w:val="both"/>
        <w:rPr>
          <w:b/>
          <w:sz w:val="24"/>
          <w:szCs w:val="24"/>
        </w:rPr>
      </w:pPr>
      <w:r w:rsidRPr="0097516D">
        <w:rPr>
          <w:b/>
          <w:sz w:val="24"/>
          <w:szCs w:val="24"/>
        </w:rPr>
        <w:t xml:space="preserve">Digital </w:t>
      </w:r>
      <w:proofErr w:type="spellStart"/>
      <w:r w:rsidRPr="0097516D">
        <w:rPr>
          <w:b/>
          <w:sz w:val="24"/>
          <w:szCs w:val="24"/>
        </w:rPr>
        <w:t>Operational</w:t>
      </w:r>
      <w:proofErr w:type="spellEnd"/>
      <w:r w:rsidRPr="0097516D">
        <w:rPr>
          <w:b/>
          <w:sz w:val="24"/>
          <w:szCs w:val="24"/>
        </w:rPr>
        <w:t xml:space="preserve"> </w:t>
      </w:r>
      <w:proofErr w:type="spellStart"/>
      <w:r w:rsidRPr="0097516D">
        <w:rPr>
          <w:b/>
          <w:sz w:val="24"/>
          <w:szCs w:val="24"/>
        </w:rPr>
        <w:t>Resilience</w:t>
      </w:r>
      <w:proofErr w:type="spellEnd"/>
      <w:r w:rsidRPr="0097516D">
        <w:rPr>
          <w:b/>
          <w:sz w:val="24"/>
          <w:szCs w:val="24"/>
        </w:rPr>
        <w:t xml:space="preserve"> </w:t>
      </w:r>
      <w:proofErr w:type="spellStart"/>
      <w:r w:rsidRPr="0097516D">
        <w:rPr>
          <w:b/>
          <w:sz w:val="24"/>
          <w:szCs w:val="24"/>
        </w:rPr>
        <w:t>Act</w:t>
      </w:r>
      <w:proofErr w:type="spellEnd"/>
      <w:r w:rsidRPr="0097516D">
        <w:rPr>
          <w:b/>
          <w:sz w:val="24"/>
          <w:szCs w:val="24"/>
        </w:rPr>
        <w:t xml:space="preserve"> (DORA)</w:t>
      </w:r>
    </w:p>
    <w:p w14:paraId="3E843CD7" w14:textId="7781FF74" w:rsidR="00586D89" w:rsidRPr="005B64C9" w:rsidRDefault="00586D89" w:rsidP="00586D89">
      <w:pPr>
        <w:spacing w:line="320" w:lineRule="exact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a) </w:t>
      </w:r>
      <w:r w:rsidR="00920158">
        <w:rPr>
          <w:b/>
          <w:sz w:val="24"/>
          <w:szCs w:val="24"/>
        </w:rPr>
        <w:t xml:space="preserve">Výkaz </w:t>
      </w:r>
      <w:r w:rsidR="00E835B1" w:rsidRPr="00DC5699">
        <w:rPr>
          <w:b/>
          <w:sz w:val="24"/>
          <w:szCs w:val="24"/>
        </w:rPr>
        <w:t>DORA</w:t>
      </w:r>
      <w:r w:rsidR="00950268" w:rsidRPr="00DC5699">
        <w:rPr>
          <w:b/>
          <w:sz w:val="24"/>
          <w:szCs w:val="24"/>
        </w:rPr>
        <w:t>EU03</w:t>
      </w:r>
      <w:r w:rsidR="00E835B1">
        <w:rPr>
          <w:b/>
          <w:sz w:val="24"/>
          <w:szCs w:val="24"/>
        </w:rPr>
        <w:t xml:space="preserve"> </w:t>
      </w:r>
      <w:r w:rsidR="00961057">
        <w:rPr>
          <w:b/>
          <w:sz w:val="24"/>
          <w:szCs w:val="24"/>
        </w:rPr>
        <w:t>„</w:t>
      </w:r>
      <w:r w:rsidR="00AB4590">
        <w:rPr>
          <w:b/>
          <w:sz w:val="24"/>
          <w:szCs w:val="24"/>
        </w:rPr>
        <w:t>Zpráva</w:t>
      </w:r>
      <w:r w:rsidR="00AB4590" w:rsidRPr="00AB4590">
        <w:rPr>
          <w:b/>
          <w:sz w:val="24"/>
          <w:szCs w:val="24"/>
        </w:rPr>
        <w:t xml:space="preserve"> o hrubých nákladech a ztrátách a zpětně získaných finančních prostředcích </w:t>
      </w:r>
      <w:r w:rsidR="00DC5699" w:rsidRPr="00DC5699">
        <w:rPr>
          <w:b/>
          <w:sz w:val="24"/>
          <w:szCs w:val="24"/>
        </w:rPr>
        <w:t xml:space="preserve">v souvislosti se závažnými incidenty IKT </w:t>
      </w:r>
      <w:r w:rsidR="00AB4590" w:rsidRPr="00AB4590">
        <w:rPr>
          <w:b/>
          <w:sz w:val="24"/>
          <w:szCs w:val="24"/>
        </w:rPr>
        <w:t>v referenčním roce</w:t>
      </w:r>
      <w:r w:rsidR="00961057">
        <w:rPr>
          <w:b/>
          <w:sz w:val="24"/>
          <w:szCs w:val="24"/>
        </w:rPr>
        <w:t>“</w:t>
      </w:r>
    </w:p>
    <w:p w14:paraId="4B6D5847" w14:textId="76759633" w:rsidR="00961057" w:rsidRPr="00961057" w:rsidRDefault="003736AA" w:rsidP="00961057">
      <w:pPr>
        <w:spacing w:line="320" w:lineRule="exact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V metodice DORA20251201 bude vyprojektován </w:t>
      </w:r>
      <w:r w:rsidR="00920158" w:rsidRPr="00E8013D">
        <w:rPr>
          <w:sz w:val="24"/>
          <w:szCs w:val="24"/>
        </w:rPr>
        <w:t>výkaz</w:t>
      </w:r>
      <w:r w:rsidRPr="00E8013D">
        <w:rPr>
          <w:sz w:val="24"/>
          <w:szCs w:val="24"/>
        </w:rPr>
        <w:t xml:space="preserve"> </w:t>
      </w:r>
      <w:r w:rsidR="00950268" w:rsidRPr="00E8013D">
        <w:rPr>
          <w:sz w:val="24"/>
          <w:szCs w:val="24"/>
        </w:rPr>
        <w:t>DORAEU03</w:t>
      </w:r>
      <w:r w:rsidR="00950268">
        <w:rPr>
          <w:sz w:val="24"/>
          <w:szCs w:val="24"/>
        </w:rPr>
        <w:t xml:space="preserve"> </w:t>
      </w:r>
      <w:r w:rsidR="00961057">
        <w:rPr>
          <w:sz w:val="24"/>
          <w:szCs w:val="24"/>
        </w:rPr>
        <w:t>„</w:t>
      </w:r>
      <w:r w:rsidR="00AB4590">
        <w:rPr>
          <w:sz w:val="24"/>
          <w:szCs w:val="24"/>
        </w:rPr>
        <w:t>P</w:t>
      </w:r>
      <w:r w:rsidR="00AB4590" w:rsidRPr="00AB4590">
        <w:rPr>
          <w:sz w:val="24"/>
          <w:szCs w:val="24"/>
        </w:rPr>
        <w:t xml:space="preserve">ředkládání zpráv o hrubých nákladech a ztrátách a zpětně získaných finančních prostředcích </w:t>
      </w:r>
      <w:r w:rsidR="00DC5699" w:rsidRPr="00DC5699">
        <w:rPr>
          <w:sz w:val="24"/>
          <w:szCs w:val="24"/>
        </w:rPr>
        <w:t xml:space="preserve">v souvislosti se závažnými incidenty IKT </w:t>
      </w:r>
      <w:r w:rsidR="00AB4590" w:rsidRPr="00AB4590">
        <w:rPr>
          <w:sz w:val="24"/>
          <w:szCs w:val="24"/>
        </w:rPr>
        <w:t>v referenčním roce</w:t>
      </w:r>
      <w:r w:rsidR="00961057">
        <w:rPr>
          <w:sz w:val="24"/>
          <w:szCs w:val="24"/>
        </w:rPr>
        <w:t xml:space="preserve">“ </w:t>
      </w:r>
      <w:r>
        <w:rPr>
          <w:sz w:val="24"/>
          <w:szCs w:val="24"/>
        </w:rPr>
        <w:t xml:space="preserve">viz </w:t>
      </w:r>
      <w:hyperlink r:id="rId20" w:history="1">
        <w:r w:rsidR="00E8013D" w:rsidRPr="00E8013D">
          <w:rPr>
            <w:rStyle w:val="Hypertextovodkaz"/>
            <w:sz w:val="24"/>
            <w:szCs w:val="24"/>
          </w:rPr>
          <w:t xml:space="preserve">JC 2024-34_Draft </w:t>
        </w:r>
        <w:proofErr w:type="spellStart"/>
        <w:r w:rsidR="00E8013D" w:rsidRPr="00E8013D">
          <w:rPr>
            <w:rStyle w:val="Hypertextovodkaz"/>
            <w:sz w:val="24"/>
            <w:szCs w:val="24"/>
          </w:rPr>
          <w:t>final</w:t>
        </w:r>
        <w:proofErr w:type="spellEnd"/>
        <w:r w:rsidR="00E8013D" w:rsidRPr="00E8013D">
          <w:rPr>
            <w:rStyle w:val="Hypertextovodkaz"/>
            <w:sz w:val="24"/>
            <w:szCs w:val="24"/>
          </w:rPr>
          <w:t xml:space="preserve"> report GL on </w:t>
        </w:r>
        <w:proofErr w:type="spellStart"/>
        <w:r w:rsidR="00E8013D" w:rsidRPr="00E8013D">
          <w:rPr>
            <w:rStyle w:val="Hypertextovodkaz"/>
            <w:sz w:val="24"/>
            <w:szCs w:val="24"/>
          </w:rPr>
          <w:t>costs</w:t>
        </w:r>
        <w:proofErr w:type="spellEnd"/>
        <w:r w:rsidR="00E8013D" w:rsidRPr="00E8013D">
          <w:rPr>
            <w:rStyle w:val="Hypertextovodkaz"/>
            <w:sz w:val="24"/>
            <w:szCs w:val="24"/>
          </w:rPr>
          <w:t xml:space="preserve"> and </w:t>
        </w:r>
        <w:proofErr w:type="spellStart"/>
        <w:r w:rsidR="00E8013D" w:rsidRPr="00E8013D">
          <w:rPr>
            <w:rStyle w:val="Hypertextovodkaz"/>
            <w:sz w:val="24"/>
            <w:szCs w:val="24"/>
          </w:rPr>
          <w:t>losses</w:t>
        </w:r>
        <w:proofErr w:type="spellEnd"/>
      </w:hyperlink>
      <w:r w:rsidR="00E8013D">
        <w:rPr>
          <w:sz w:val="24"/>
          <w:szCs w:val="24"/>
        </w:rPr>
        <w:t xml:space="preserve"> </w:t>
      </w:r>
      <w:r w:rsidR="00204A77">
        <w:rPr>
          <w:sz w:val="24"/>
          <w:szCs w:val="24"/>
        </w:rPr>
        <w:t>pro f</w:t>
      </w:r>
      <w:r w:rsidR="00961057" w:rsidRPr="00961057">
        <w:rPr>
          <w:sz w:val="24"/>
          <w:szCs w:val="24"/>
        </w:rPr>
        <w:t xml:space="preserve">inanční </w:t>
      </w:r>
      <w:r w:rsidR="00204A77">
        <w:rPr>
          <w:sz w:val="24"/>
          <w:szCs w:val="24"/>
        </w:rPr>
        <w:t xml:space="preserve">subjekty, jiné než </w:t>
      </w:r>
      <w:proofErr w:type="spellStart"/>
      <w:r w:rsidR="00204A77">
        <w:rPr>
          <w:sz w:val="24"/>
          <w:szCs w:val="24"/>
        </w:rPr>
        <w:t>mikropodniky</w:t>
      </w:r>
      <w:proofErr w:type="spellEnd"/>
      <w:r w:rsidR="00204A77">
        <w:rPr>
          <w:sz w:val="24"/>
          <w:szCs w:val="24"/>
        </w:rPr>
        <w:t>, které</w:t>
      </w:r>
      <w:r w:rsidR="00961057" w:rsidRPr="00961057">
        <w:rPr>
          <w:sz w:val="24"/>
          <w:szCs w:val="24"/>
        </w:rPr>
        <w:t xml:space="preserve"> oznamují příslušným orgánům na jejich žádost odhad souhrnných ročních nákladů a ztrát způsobených závažnými incidenty souvisejícími s IKT.</w:t>
      </w:r>
    </w:p>
    <w:p w14:paraId="458D537A" w14:textId="471FE3AA" w:rsidR="00204A77" w:rsidRDefault="003736AA" w:rsidP="00661430">
      <w:pPr>
        <w:spacing w:before="120" w:line="320" w:lineRule="exact"/>
        <w:jc w:val="both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Výkazu bude nastavena mimořádná vykazovací povinnost. </w:t>
      </w:r>
    </w:p>
    <w:p w14:paraId="1CE0A496" w14:textId="77777777" w:rsidR="004E63D2" w:rsidRPr="004E63D2" w:rsidRDefault="004E63D2" w:rsidP="004E63D2">
      <w:pPr>
        <w:spacing w:before="120" w:line="320" w:lineRule="exact"/>
        <w:jc w:val="both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b) </w:t>
      </w:r>
      <w:r w:rsidRPr="004E63D2">
        <w:rPr>
          <w:rFonts w:cs="Times New Roman"/>
          <w:b/>
          <w:sz w:val="24"/>
          <w:szCs w:val="24"/>
        </w:rPr>
        <w:t xml:space="preserve">Podpůrný výkaz k údajům DORA </w:t>
      </w:r>
    </w:p>
    <w:p w14:paraId="01D5B0DA" w14:textId="77777777" w:rsidR="00076BD1" w:rsidRDefault="004E63D2" w:rsidP="004E63D2">
      <w:pPr>
        <w:spacing w:before="120" w:line="320" w:lineRule="exact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Dále</w:t>
      </w:r>
      <w:r w:rsidRPr="004E63D2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bude v SDAT připraven</w:t>
      </w:r>
      <w:r w:rsidRPr="004E63D2">
        <w:rPr>
          <w:rFonts w:cs="Times New Roman"/>
          <w:sz w:val="24"/>
          <w:szCs w:val="24"/>
        </w:rPr>
        <w:t xml:space="preserve"> výkaz, který </w:t>
      </w:r>
      <w:r>
        <w:rPr>
          <w:rFonts w:cs="Times New Roman"/>
          <w:sz w:val="24"/>
          <w:szCs w:val="24"/>
        </w:rPr>
        <w:t>bude sloužit jako</w:t>
      </w:r>
      <w:r w:rsidRPr="004E63D2">
        <w:rPr>
          <w:rFonts w:cs="Times New Roman"/>
          <w:sz w:val="24"/>
          <w:szCs w:val="24"/>
        </w:rPr>
        <w:t xml:space="preserve"> nástroj pro efektivní dohled a administrativní zjednodušení povinností subjektů podléhajících regula</w:t>
      </w:r>
      <w:r>
        <w:rPr>
          <w:rFonts w:cs="Times New Roman"/>
          <w:sz w:val="24"/>
          <w:szCs w:val="24"/>
        </w:rPr>
        <w:t xml:space="preserve">ci podle nařízení DORA. </w:t>
      </w:r>
    </w:p>
    <w:p w14:paraId="6B624E7D" w14:textId="38564119" w:rsidR="00076BD1" w:rsidRDefault="004E63D2" w:rsidP="004E63D2">
      <w:pPr>
        <w:spacing w:before="120" w:line="320" w:lineRule="exact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Výkaz bude</w:t>
      </w:r>
      <w:r w:rsidRPr="004E63D2">
        <w:rPr>
          <w:rFonts w:cs="Times New Roman"/>
          <w:sz w:val="24"/>
          <w:szCs w:val="24"/>
        </w:rPr>
        <w:t xml:space="preserve"> členěn do </w:t>
      </w:r>
      <w:r w:rsidR="00076BD1">
        <w:rPr>
          <w:rFonts w:cs="Times New Roman"/>
          <w:sz w:val="24"/>
          <w:szCs w:val="24"/>
        </w:rPr>
        <w:t>tří</w:t>
      </w:r>
      <w:r w:rsidRPr="004E63D2">
        <w:rPr>
          <w:rFonts w:cs="Times New Roman"/>
          <w:sz w:val="24"/>
          <w:szCs w:val="24"/>
        </w:rPr>
        <w:t xml:space="preserve"> částí</w:t>
      </w:r>
      <w:r w:rsidR="00076BD1">
        <w:rPr>
          <w:rFonts w:cs="Times New Roman"/>
          <w:sz w:val="24"/>
          <w:szCs w:val="24"/>
        </w:rPr>
        <w:t>:</w:t>
      </w:r>
    </w:p>
    <w:p w14:paraId="7EBDAB07" w14:textId="5A90A472" w:rsidR="00076BD1" w:rsidRDefault="00076BD1" w:rsidP="00076BD1">
      <w:pPr>
        <w:pStyle w:val="Odstavecseseznamem"/>
        <w:numPr>
          <w:ilvl w:val="0"/>
          <w:numId w:val="44"/>
        </w:numPr>
        <w:spacing w:before="120" w:line="320" w:lineRule="exact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P</w:t>
      </w:r>
      <w:r w:rsidR="004E63D2" w:rsidRPr="00076BD1">
        <w:rPr>
          <w:rFonts w:cs="Times New Roman"/>
          <w:sz w:val="24"/>
          <w:szCs w:val="24"/>
        </w:rPr>
        <w:t xml:space="preserve">rvní část se bude zaměřovat na určení příslušnosti subjektu k regulaci podle DORA a jeho velikosti, např. vymezení </w:t>
      </w:r>
      <w:proofErr w:type="spellStart"/>
      <w:r w:rsidR="004E63D2" w:rsidRPr="00076BD1">
        <w:rPr>
          <w:rFonts w:cs="Times New Roman"/>
          <w:sz w:val="24"/>
          <w:szCs w:val="24"/>
        </w:rPr>
        <w:t>mikropodniku</w:t>
      </w:r>
      <w:proofErr w:type="spellEnd"/>
      <w:r w:rsidR="004E63D2" w:rsidRPr="00076BD1">
        <w:rPr>
          <w:rFonts w:cs="Times New Roman"/>
          <w:sz w:val="24"/>
          <w:szCs w:val="24"/>
        </w:rPr>
        <w:t xml:space="preserve">. Tato část vychází z údajů o bilanční sumě, ročním obratu a počtu zaměstnanců. </w:t>
      </w:r>
    </w:p>
    <w:p w14:paraId="3D8F9AA6" w14:textId="1CE2B6AA" w:rsidR="00076BD1" w:rsidRDefault="004E63D2" w:rsidP="00076BD1">
      <w:pPr>
        <w:pStyle w:val="Odstavecseseznamem"/>
        <w:numPr>
          <w:ilvl w:val="0"/>
          <w:numId w:val="44"/>
        </w:numPr>
        <w:spacing w:before="120" w:line="320" w:lineRule="exact"/>
        <w:jc w:val="both"/>
        <w:rPr>
          <w:rFonts w:cs="Times New Roman"/>
          <w:sz w:val="24"/>
          <w:szCs w:val="24"/>
        </w:rPr>
      </w:pPr>
      <w:r w:rsidRPr="00076BD1">
        <w:rPr>
          <w:rFonts w:cs="Times New Roman"/>
          <w:sz w:val="24"/>
          <w:szCs w:val="24"/>
        </w:rPr>
        <w:t>Druhá část se bude týkat určení konsolidačního rámce, tedy stavu</w:t>
      </w:r>
      <w:r w:rsidR="00B43172">
        <w:rPr>
          <w:rFonts w:cs="Times New Roman"/>
          <w:sz w:val="24"/>
          <w:szCs w:val="24"/>
        </w:rPr>
        <w:t>,</w:t>
      </w:r>
      <w:r w:rsidRPr="00076BD1">
        <w:rPr>
          <w:rFonts w:cs="Times New Roman"/>
          <w:sz w:val="24"/>
          <w:szCs w:val="24"/>
        </w:rPr>
        <w:t xml:space="preserve"> zda subjekt vykazuje individuálně, případně zda je součástí skupiny, a identifikuje ovládající či ovládané členy této skupiny, čímž podporuje správné vykazování registru informací. </w:t>
      </w:r>
    </w:p>
    <w:p w14:paraId="1690E4F6" w14:textId="40C0BFEC" w:rsidR="004E63D2" w:rsidRPr="00076BD1" w:rsidRDefault="004E63D2" w:rsidP="00076BD1">
      <w:pPr>
        <w:pStyle w:val="Odstavecseseznamem"/>
        <w:numPr>
          <w:ilvl w:val="0"/>
          <w:numId w:val="44"/>
        </w:numPr>
        <w:spacing w:before="120" w:line="320" w:lineRule="exact"/>
        <w:jc w:val="both"/>
        <w:rPr>
          <w:rFonts w:cs="Times New Roman"/>
          <w:sz w:val="24"/>
          <w:szCs w:val="24"/>
        </w:rPr>
      </w:pPr>
      <w:r w:rsidRPr="00076BD1">
        <w:rPr>
          <w:rFonts w:cs="Times New Roman"/>
          <w:sz w:val="24"/>
          <w:szCs w:val="24"/>
        </w:rPr>
        <w:t xml:space="preserve">Třetí část výkazu bude obsahovat informace o klíčových kontaktních osobách dle nařízení DORA – např. osobě odpovědné za řízení rizik, </w:t>
      </w:r>
      <w:proofErr w:type="spellStart"/>
      <w:r w:rsidRPr="00076BD1">
        <w:rPr>
          <w:rFonts w:cs="Times New Roman"/>
          <w:sz w:val="24"/>
          <w:szCs w:val="24"/>
        </w:rPr>
        <w:t>compliance</w:t>
      </w:r>
      <w:proofErr w:type="spellEnd"/>
      <w:r w:rsidRPr="00076BD1">
        <w:rPr>
          <w:rFonts w:cs="Times New Roman"/>
          <w:sz w:val="24"/>
          <w:szCs w:val="24"/>
        </w:rPr>
        <w:t xml:space="preserve">, IKT správu nebo koordinaci vztahů s poskytovateli IKT služeb třetích stran. </w:t>
      </w:r>
    </w:p>
    <w:p w14:paraId="47C6C44B" w14:textId="77777777" w:rsidR="00076BD1" w:rsidRDefault="004E63D2" w:rsidP="004E63D2">
      <w:pPr>
        <w:spacing w:before="120" w:line="320" w:lineRule="exact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Tento výkaz významně přispěje</w:t>
      </w:r>
      <w:r w:rsidRPr="004E63D2">
        <w:rPr>
          <w:rFonts w:cs="Times New Roman"/>
          <w:sz w:val="24"/>
          <w:szCs w:val="24"/>
        </w:rPr>
        <w:t xml:space="preserve"> k cílené a systematické komunikaci mezi ČNB a dohlíženými subjekty, a zároveň snižuje administrativní zátěž na </w:t>
      </w:r>
      <w:r>
        <w:rPr>
          <w:rFonts w:cs="Times New Roman"/>
          <w:sz w:val="24"/>
          <w:szCs w:val="24"/>
        </w:rPr>
        <w:t>obou stranách, jelikož nahrazuje</w:t>
      </w:r>
      <w:r w:rsidRPr="004E63D2">
        <w:rPr>
          <w:rFonts w:cs="Times New Roman"/>
          <w:sz w:val="24"/>
          <w:szCs w:val="24"/>
        </w:rPr>
        <w:t xml:space="preserve"> opakované individuální dohledové výzvy. </w:t>
      </w:r>
    </w:p>
    <w:p w14:paraId="45D5B399" w14:textId="11291F35" w:rsidR="00076BD1" w:rsidRDefault="004E63D2" w:rsidP="004E63D2">
      <w:pPr>
        <w:spacing w:before="120" w:line="320" w:lineRule="exact"/>
        <w:jc w:val="both"/>
        <w:rPr>
          <w:rFonts w:cs="Times New Roman"/>
          <w:sz w:val="24"/>
          <w:szCs w:val="24"/>
        </w:rPr>
      </w:pPr>
      <w:r w:rsidRPr="004E63D2">
        <w:rPr>
          <w:rFonts w:cs="Times New Roman"/>
          <w:sz w:val="24"/>
          <w:szCs w:val="24"/>
        </w:rPr>
        <w:t xml:space="preserve">Vykazovací povinnost bude na roční bázi (na začátku příslušného kalendářního roku). Údaje </w:t>
      </w:r>
      <w:r>
        <w:rPr>
          <w:rFonts w:cs="Times New Roman"/>
          <w:sz w:val="24"/>
          <w:szCs w:val="24"/>
        </w:rPr>
        <w:t>budou</w:t>
      </w:r>
      <w:r w:rsidRPr="004E63D2">
        <w:rPr>
          <w:rFonts w:cs="Times New Roman"/>
          <w:sz w:val="24"/>
          <w:szCs w:val="24"/>
        </w:rPr>
        <w:t xml:space="preserve"> vykazovány v</w:t>
      </w:r>
      <w:r>
        <w:rPr>
          <w:rFonts w:cs="Times New Roman"/>
          <w:sz w:val="24"/>
          <w:szCs w:val="24"/>
        </w:rPr>
        <w:t xml:space="preserve"> systému </w:t>
      </w:r>
      <w:r w:rsidRPr="004E63D2">
        <w:rPr>
          <w:rFonts w:cs="Times New Roman"/>
          <w:sz w:val="24"/>
          <w:szCs w:val="24"/>
        </w:rPr>
        <w:t>SDAT prostřednictvím oslov</w:t>
      </w:r>
      <w:r>
        <w:rPr>
          <w:rFonts w:cs="Times New Roman"/>
          <w:sz w:val="24"/>
          <w:szCs w:val="24"/>
        </w:rPr>
        <w:t xml:space="preserve">ení vykazující osoby, a to formou </w:t>
      </w:r>
      <w:r w:rsidR="00076BD1">
        <w:rPr>
          <w:rFonts w:cs="Times New Roman"/>
          <w:sz w:val="24"/>
          <w:szCs w:val="24"/>
        </w:rPr>
        <w:t>datové</w:t>
      </w:r>
      <w:r w:rsidRPr="004E63D2">
        <w:rPr>
          <w:rFonts w:cs="Times New Roman"/>
          <w:sz w:val="24"/>
          <w:szCs w:val="24"/>
        </w:rPr>
        <w:t xml:space="preserve"> zpráv</w:t>
      </w:r>
      <w:r w:rsidR="00076BD1">
        <w:rPr>
          <w:rFonts w:cs="Times New Roman"/>
          <w:sz w:val="24"/>
          <w:szCs w:val="24"/>
        </w:rPr>
        <w:t>y</w:t>
      </w:r>
      <w:r w:rsidRPr="004E63D2">
        <w:rPr>
          <w:rFonts w:cs="Times New Roman"/>
          <w:sz w:val="24"/>
          <w:szCs w:val="24"/>
        </w:rPr>
        <w:t xml:space="preserve"> s jednorázovým linkem na výkaz, příp. pro osoby s běžným přístupem do SDAT </w:t>
      </w:r>
      <w:r>
        <w:rPr>
          <w:rFonts w:cs="Times New Roman"/>
          <w:sz w:val="24"/>
          <w:szCs w:val="24"/>
        </w:rPr>
        <w:t>bude</w:t>
      </w:r>
      <w:r w:rsidRPr="004E63D2">
        <w:rPr>
          <w:rFonts w:cs="Times New Roman"/>
          <w:sz w:val="24"/>
          <w:szCs w:val="24"/>
        </w:rPr>
        <w:t xml:space="preserve"> možné výkaz vyplnit standardní formou. </w:t>
      </w:r>
    </w:p>
    <w:p w14:paraId="448FE30E" w14:textId="6F4BF723" w:rsidR="00204A77" w:rsidRPr="004E63D2" w:rsidRDefault="00076BD1" w:rsidP="004E63D2">
      <w:pPr>
        <w:spacing w:before="120" w:line="320" w:lineRule="exact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Podoba výkazu je v současném okamžiku připravována. </w:t>
      </w:r>
      <w:r w:rsidR="004E63D2" w:rsidRPr="004E63D2">
        <w:rPr>
          <w:rFonts w:cs="Times New Roman"/>
          <w:sz w:val="24"/>
          <w:szCs w:val="24"/>
        </w:rPr>
        <w:t>O dalších detailech budete informováni prostřednictvím webových stránek ČNB (</w:t>
      </w:r>
      <w:hyperlink r:id="rId21" w:history="1">
        <w:r w:rsidR="004E63D2" w:rsidRPr="003F6533">
          <w:rPr>
            <w:rStyle w:val="Hypertextovodkaz"/>
            <w:rFonts w:cs="Times New Roman"/>
            <w:sz w:val="24"/>
            <w:szCs w:val="24"/>
          </w:rPr>
          <w:t>www.cnb.cz/dora-vykazy</w:t>
        </w:r>
      </w:hyperlink>
      <w:r w:rsidR="004E63D2" w:rsidRPr="004E63D2">
        <w:rPr>
          <w:rFonts w:cs="Times New Roman"/>
          <w:sz w:val="24"/>
          <w:szCs w:val="24"/>
        </w:rPr>
        <w:t>).</w:t>
      </w:r>
    </w:p>
    <w:p w14:paraId="18BB49DF" w14:textId="77777777" w:rsidR="00076BD1" w:rsidRDefault="00076BD1" w:rsidP="00661430">
      <w:pPr>
        <w:spacing w:before="120" w:line="320" w:lineRule="exact"/>
        <w:jc w:val="both"/>
        <w:rPr>
          <w:rFonts w:cs="Times New Roman"/>
          <w:b/>
          <w:sz w:val="24"/>
          <w:szCs w:val="24"/>
        </w:rPr>
      </w:pPr>
    </w:p>
    <w:p w14:paraId="12EBA45F" w14:textId="027EF39F" w:rsidR="00076BD1" w:rsidRDefault="00076BD1" w:rsidP="00661430">
      <w:pPr>
        <w:spacing w:before="120" w:line="320" w:lineRule="exact"/>
        <w:jc w:val="both"/>
        <w:rPr>
          <w:rFonts w:cs="Times New Roman"/>
          <w:b/>
          <w:sz w:val="24"/>
          <w:szCs w:val="24"/>
        </w:rPr>
      </w:pPr>
    </w:p>
    <w:p w14:paraId="5B54D894" w14:textId="586DEED1" w:rsidR="00AA2CCF" w:rsidRDefault="00AA2CCF" w:rsidP="00661430">
      <w:pPr>
        <w:spacing w:before="120" w:line="320" w:lineRule="exact"/>
        <w:jc w:val="both"/>
        <w:rPr>
          <w:rFonts w:cs="Times New Roman"/>
          <w:b/>
          <w:sz w:val="24"/>
          <w:szCs w:val="24"/>
        </w:rPr>
      </w:pPr>
    </w:p>
    <w:p w14:paraId="0C6FAECE" w14:textId="634A31E9" w:rsidR="00AA2CCF" w:rsidRDefault="00AA2CCF" w:rsidP="00661430">
      <w:pPr>
        <w:spacing w:before="120" w:line="320" w:lineRule="exact"/>
        <w:jc w:val="both"/>
        <w:rPr>
          <w:rFonts w:cs="Times New Roman"/>
          <w:b/>
          <w:sz w:val="24"/>
          <w:szCs w:val="24"/>
        </w:rPr>
      </w:pPr>
    </w:p>
    <w:p w14:paraId="3069AF9B" w14:textId="59539B26" w:rsidR="00AA2CCF" w:rsidRDefault="00AA2CCF" w:rsidP="00661430">
      <w:pPr>
        <w:spacing w:before="120" w:line="320" w:lineRule="exact"/>
        <w:jc w:val="both"/>
        <w:rPr>
          <w:rFonts w:cs="Times New Roman"/>
          <w:b/>
          <w:sz w:val="24"/>
          <w:szCs w:val="24"/>
        </w:rPr>
      </w:pPr>
    </w:p>
    <w:p w14:paraId="7773EF79" w14:textId="77777777" w:rsidR="00AA2CCF" w:rsidRDefault="00AA2CCF" w:rsidP="00661430">
      <w:pPr>
        <w:spacing w:before="120" w:line="320" w:lineRule="exact"/>
        <w:jc w:val="both"/>
        <w:rPr>
          <w:rFonts w:cs="Times New Roman"/>
          <w:b/>
          <w:sz w:val="24"/>
          <w:szCs w:val="24"/>
        </w:rPr>
      </w:pPr>
    </w:p>
    <w:p w14:paraId="500FEA0D" w14:textId="29934C87" w:rsidR="008212F1" w:rsidRDefault="008212F1" w:rsidP="00661430">
      <w:pPr>
        <w:spacing w:before="120" w:line="320" w:lineRule="exact"/>
        <w:jc w:val="both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lastRenderedPageBreak/>
        <w:t xml:space="preserve">Vaše dotazy prosím směřujte na tyto adresy: </w:t>
      </w:r>
    </w:p>
    <w:p w14:paraId="027E0BB1" w14:textId="01D7D4EB" w:rsidR="00501FA0" w:rsidRPr="00A63ECD" w:rsidRDefault="00E81D78" w:rsidP="00661430">
      <w:pPr>
        <w:spacing w:before="120" w:line="320" w:lineRule="exact"/>
        <w:jc w:val="both"/>
        <w:rPr>
          <w:rFonts w:cs="Times New Roman"/>
          <w:color w:val="1F497D"/>
          <w:sz w:val="24"/>
          <w:szCs w:val="24"/>
        </w:rPr>
      </w:pPr>
      <w:r>
        <w:rPr>
          <w:rFonts w:cs="Times New Roman"/>
          <w:b/>
          <w:sz w:val="24"/>
          <w:szCs w:val="24"/>
        </w:rPr>
        <w:t>Technické d</w:t>
      </w:r>
      <w:r w:rsidR="00501FA0" w:rsidRPr="00A63ECD">
        <w:rPr>
          <w:rFonts w:cs="Times New Roman"/>
          <w:b/>
          <w:sz w:val="24"/>
          <w:szCs w:val="24"/>
        </w:rPr>
        <w:t>otazy k SDAT</w:t>
      </w:r>
      <w:r w:rsidR="00501FA0" w:rsidRPr="00A63ECD">
        <w:rPr>
          <w:rFonts w:cs="Times New Roman"/>
          <w:sz w:val="24"/>
          <w:szCs w:val="24"/>
        </w:rPr>
        <w:t xml:space="preserve"> </w:t>
      </w:r>
      <w:r w:rsidR="003979B3" w:rsidRPr="00A63ECD">
        <w:rPr>
          <w:rFonts w:cs="Times New Roman"/>
          <w:sz w:val="24"/>
          <w:szCs w:val="24"/>
        </w:rPr>
        <w:t>smě</w:t>
      </w:r>
      <w:r w:rsidR="003979B3">
        <w:rPr>
          <w:rFonts w:cs="Times New Roman"/>
          <w:sz w:val="24"/>
          <w:szCs w:val="24"/>
        </w:rPr>
        <w:t>r</w:t>
      </w:r>
      <w:r w:rsidR="003979B3" w:rsidRPr="00A63ECD">
        <w:rPr>
          <w:rFonts w:cs="Times New Roman"/>
          <w:sz w:val="24"/>
          <w:szCs w:val="24"/>
        </w:rPr>
        <w:t xml:space="preserve">ujte </w:t>
      </w:r>
      <w:r w:rsidR="00501FA0" w:rsidRPr="00A63ECD">
        <w:rPr>
          <w:rFonts w:cs="Times New Roman"/>
          <w:sz w:val="24"/>
          <w:szCs w:val="24"/>
        </w:rPr>
        <w:t xml:space="preserve">na adresu: </w:t>
      </w:r>
      <w:hyperlink r:id="rId22" w:history="1">
        <w:r w:rsidR="00501FA0" w:rsidRPr="00A63ECD">
          <w:rPr>
            <w:rStyle w:val="Hypertextovodkaz"/>
            <w:rFonts w:cs="Times New Roman"/>
            <w:sz w:val="24"/>
            <w:szCs w:val="24"/>
          </w:rPr>
          <w:t>sdat@cnb.cz</w:t>
        </w:r>
      </w:hyperlink>
    </w:p>
    <w:p w14:paraId="14D62A06" w14:textId="77777777" w:rsidR="00F908AB" w:rsidRDefault="00F908AB" w:rsidP="00661430">
      <w:pPr>
        <w:spacing w:before="120" w:after="120" w:line="320" w:lineRule="exact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Metodické dotazy k výkaznictví pro potřeby měnové a finanční statistiky </w:t>
      </w:r>
      <w:r>
        <w:rPr>
          <w:rFonts w:cs="Times New Roman"/>
          <w:sz w:val="24"/>
          <w:szCs w:val="24"/>
        </w:rPr>
        <w:t xml:space="preserve">směrujte na adresu: </w:t>
      </w:r>
      <w:hyperlink r:id="rId23" w:history="1">
        <w:r>
          <w:rPr>
            <w:rStyle w:val="Hypertextovodkaz"/>
            <w:rFonts w:cs="Times New Roman"/>
            <w:sz w:val="24"/>
            <w:szCs w:val="24"/>
          </w:rPr>
          <w:t>mfsreporting@cnb.cz</w:t>
        </w:r>
      </w:hyperlink>
    </w:p>
    <w:p w14:paraId="3893428E" w14:textId="68544539" w:rsidR="00501FA0" w:rsidRPr="005B6049" w:rsidRDefault="00501FA0" w:rsidP="00661430">
      <w:pPr>
        <w:pStyle w:val="Nadpis2"/>
        <w:spacing w:before="120" w:after="240" w:line="320" w:lineRule="exact"/>
        <w:jc w:val="both"/>
        <w:rPr>
          <w:rStyle w:val="Hypertextovodkaz"/>
          <w:rFonts w:asciiTheme="minorHAnsi" w:hAnsiTheme="minorHAnsi" w:cstheme="minorHAnsi"/>
          <w:b w:val="0"/>
          <w:sz w:val="24"/>
          <w:szCs w:val="24"/>
        </w:rPr>
      </w:pPr>
      <w:r w:rsidRPr="005B6049">
        <w:rPr>
          <w:rFonts w:asciiTheme="minorHAnsi" w:eastAsiaTheme="minorHAnsi" w:hAnsiTheme="minorHAnsi" w:cs="Times New Roman"/>
          <w:bCs w:val="0"/>
          <w:color w:val="auto"/>
          <w:sz w:val="24"/>
          <w:szCs w:val="24"/>
        </w:rPr>
        <w:t>Metodické dotazy k dohledovému výkaznictví OCP</w:t>
      </w:r>
      <w:r w:rsidR="00F908AB" w:rsidRPr="005B6049">
        <w:rPr>
          <w:rFonts w:asciiTheme="minorHAnsi" w:eastAsiaTheme="minorHAnsi" w:hAnsiTheme="minorHAnsi" w:cs="Times New Roman"/>
          <w:bCs w:val="0"/>
          <w:color w:val="auto"/>
          <w:sz w:val="24"/>
          <w:szCs w:val="24"/>
        </w:rPr>
        <w:t>,</w:t>
      </w:r>
      <w:r w:rsidR="008B52E0" w:rsidRPr="005B6049">
        <w:rPr>
          <w:rFonts w:asciiTheme="minorHAnsi" w:eastAsiaTheme="minorHAnsi" w:hAnsiTheme="minorHAnsi" w:cs="Times New Roman"/>
          <w:bCs w:val="0"/>
          <w:color w:val="auto"/>
          <w:sz w:val="24"/>
          <w:szCs w:val="24"/>
        </w:rPr>
        <w:t xml:space="preserve"> IS/IF </w:t>
      </w:r>
      <w:r w:rsidR="00F908AB" w:rsidRPr="005B6049">
        <w:rPr>
          <w:rFonts w:asciiTheme="minorHAnsi" w:eastAsiaTheme="minorHAnsi" w:hAnsiTheme="minorHAnsi" w:cs="Times New Roman"/>
          <w:bCs w:val="0"/>
          <w:color w:val="auto"/>
          <w:sz w:val="24"/>
          <w:szCs w:val="24"/>
        </w:rPr>
        <w:t xml:space="preserve">a poskytovatelů služeb skupinového financování </w:t>
      </w:r>
      <w:r w:rsidR="003979B3" w:rsidRPr="005B6049">
        <w:rPr>
          <w:rFonts w:asciiTheme="minorHAnsi" w:eastAsiaTheme="minorHAnsi" w:hAnsiTheme="minorHAnsi" w:cs="Times New Roman"/>
          <w:b w:val="0"/>
          <w:bCs w:val="0"/>
          <w:color w:val="auto"/>
          <w:sz w:val="24"/>
          <w:szCs w:val="24"/>
        </w:rPr>
        <w:t xml:space="preserve">směrujte </w:t>
      </w:r>
      <w:r w:rsidRPr="005B6049">
        <w:rPr>
          <w:rFonts w:asciiTheme="minorHAnsi" w:eastAsiaTheme="minorHAnsi" w:hAnsiTheme="minorHAnsi" w:cs="Times New Roman"/>
          <w:b w:val="0"/>
          <w:bCs w:val="0"/>
          <w:color w:val="auto"/>
          <w:sz w:val="24"/>
          <w:szCs w:val="24"/>
        </w:rPr>
        <w:t>na adresu</w:t>
      </w:r>
      <w:r w:rsidRPr="005B6049">
        <w:rPr>
          <w:rFonts w:asciiTheme="minorHAnsi" w:eastAsiaTheme="minorHAnsi" w:hAnsiTheme="minorHAnsi" w:cstheme="minorHAnsi"/>
          <w:bCs w:val="0"/>
          <w:color w:val="auto"/>
          <w:sz w:val="24"/>
          <w:szCs w:val="24"/>
        </w:rPr>
        <w:t xml:space="preserve">: </w:t>
      </w:r>
      <w:hyperlink r:id="rId24" w:history="1">
        <w:r w:rsidRPr="005B6049">
          <w:rPr>
            <w:rStyle w:val="Hypertextovodkaz"/>
            <w:rFonts w:asciiTheme="minorHAnsi" w:hAnsiTheme="minorHAnsi" w:cstheme="minorHAnsi"/>
            <w:b w:val="0"/>
            <w:sz w:val="24"/>
            <w:szCs w:val="24"/>
          </w:rPr>
          <w:t>kt.stat@cnb.cz</w:t>
        </w:r>
      </w:hyperlink>
    </w:p>
    <w:p w14:paraId="03F08E20" w14:textId="134ABB02" w:rsidR="00204A77" w:rsidRPr="005B6049" w:rsidRDefault="00204A77" w:rsidP="00204A77">
      <w:pPr>
        <w:rPr>
          <w:b/>
          <w:sz w:val="24"/>
          <w:szCs w:val="24"/>
        </w:rPr>
      </w:pPr>
      <w:r w:rsidRPr="005B6049">
        <w:rPr>
          <w:b/>
          <w:sz w:val="24"/>
          <w:szCs w:val="24"/>
        </w:rPr>
        <w:t>Metodické dotazy k </w:t>
      </w:r>
      <w:r w:rsidR="008212F1" w:rsidRPr="005B6049">
        <w:rPr>
          <w:b/>
          <w:sz w:val="24"/>
          <w:szCs w:val="24"/>
        </w:rPr>
        <w:t>výkaz</w:t>
      </w:r>
      <w:r w:rsidR="00366305">
        <w:rPr>
          <w:b/>
          <w:sz w:val="24"/>
          <w:szCs w:val="24"/>
        </w:rPr>
        <w:t>ům</w:t>
      </w:r>
      <w:r w:rsidRPr="005B6049">
        <w:rPr>
          <w:b/>
          <w:sz w:val="24"/>
          <w:szCs w:val="24"/>
        </w:rPr>
        <w:t> </w:t>
      </w:r>
      <w:r w:rsidR="008212F1" w:rsidRPr="005B6049">
        <w:rPr>
          <w:b/>
          <w:sz w:val="24"/>
          <w:szCs w:val="24"/>
        </w:rPr>
        <w:t xml:space="preserve">dle </w:t>
      </w:r>
      <w:r w:rsidRPr="005B6049">
        <w:rPr>
          <w:b/>
          <w:sz w:val="24"/>
          <w:szCs w:val="24"/>
        </w:rPr>
        <w:t xml:space="preserve">DORA </w:t>
      </w:r>
      <w:r w:rsidRPr="00946685">
        <w:rPr>
          <w:sz w:val="24"/>
          <w:szCs w:val="24"/>
        </w:rPr>
        <w:t>smě</w:t>
      </w:r>
      <w:r w:rsidR="00946685">
        <w:rPr>
          <w:sz w:val="24"/>
          <w:szCs w:val="24"/>
        </w:rPr>
        <w:t>r</w:t>
      </w:r>
      <w:r w:rsidRPr="00946685">
        <w:rPr>
          <w:sz w:val="24"/>
          <w:szCs w:val="24"/>
        </w:rPr>
        <w:t>ujte na</w:t>
      </w:r>
      <w:r w:rsidRPr="005B6049">
        <w:rPr>
          <w:b/>
          <w:sz w:val="24"/>
          <w:szCs w:val="24"/>
        </w:rPr>
        <w:t xml:space="preserve">: </w:t>
      </w:r>
    </w:p>
    <w:p w14:paraId="6DB77EDD" w14:textId="5316008A" w:rsidR="00DC5699" w:rsidRPr="005B6049" w:rsidRDefault="00AA2CCF" w:rsidP="00DC5699">
      <w:pPr>
        <w:spacing w:line="320" w:lineRule="exact"/>
        <w:jc w:val="both"/>
        <w:rPr>
          <w:sz w:val="24"/>
          <w:szCs w:val="24"/>
        </w:rPr>
      </w:pPr>
      <w:hyperlink r:id="rId25" w:history="1">
        <w:r w:rsidR="00DC5699" w:rsidRPr="005B6049">
          <w:rPr>
            <w:rStyle w:val="Hypertextovodkaz"/>
            <w:sz w:val="24"/>
            <w:szCs w:val="24"/>
          </w:rPr>
          <w:t>dora580@cnb.cz</w:t>
        </w:r>
      </w:hyperlink>
      <w:r w:rsidR="00DC5699" w:rsidRPr="005B6049">
        <w:rPr>
          <w:sz w:val="24"/>
          <w:szCs w:val="24"/>
        </w:rPr>
        <w:t xml:space="preserve"> – pro dotazy související s věcným obsahem výkazu u úvěrových institucí, Centrálního depozitáře cenných papírů, obchodních systémů a pojišťoven a zajišťoven.</w:t>
      </w:r>
    </w:p>
    <w:p w14:paraId="338AE503" w14:textId="18079D35" w:rsidR="00DC5699" w:rsidRPr="005B6049" w:rsidRDefault="00AA2CCF" w:rsidP="00DC5699">
      <w:pPr>
        <w:spacing w:line="320" w:lineRule="exact"/>
        <w:jc w:val="both"/>
        <w:rPr>
          <w:sz w:val="24"/>
          <w:szCs w:val="24"/>
        </w:rPr>
      </w:pPr>
      <w:hyperlink r:id="rId26" w:history="1">
        <w:r w:rsidR="00DC5699" w:rsidRPr="005B6049">
          <w:rPr>
            <w:rStyle w:val="Hypertextovodkaz"/>
            <w:sz w:val="24"/>
            <w:szCs w:val="24"/>
          </w:rPr>
          <w:t>dora650@cnb.cz</w:t>
        </w:r>
      </w:hyperlink>
      <w:r w:rsidR="00DC5699" w:rsidRPr="005B6049">
        <w:rPr>
          <w:sz w:val="24"/>
          <w:szCs w:val="24"/>
        </w:rPr>
        <w:t xml:space="preserve"> - pro dotazy související s věcným obsahem výkazu u platebních institucí, poskytovatelů platebních služeb malého rozsahu, institucí elektronických peněz, vydavatelů elektronických peněz malého rozsahu, obchodníků s cennými papíry, správců alternativních investičních fondů, správcovských společností, zprostředkovatelů pojištění, zprostředkovatelů zajištění a zprostředkovatelů doplňkového pojištění a poskytovatelů služeb skupinového financování.</w:t>
      </w:r>
    </w:p>
    <w:p w14:paraId="046D1B18" w14:textId="46F40186" w:rsidR="00A30BF0" w:rsidRPr="005B6049" w:rsidRDefault="00A30BF0" w:rsidP="00661430">
      <w:pPr>
        <w:spacing w:line="320" w:lineRule="exact"/>
        <w:jc w:val="both"/>
        <w:rPr>
          <w:sz w:val="24"/>
          <w:szCs w:val="24"/>
        </w:rPr>
      </w:pPr>
    </w:p>
    <w:p w14:paraId="19EB5C61" w14:textId="72513ADA" w:rsidR="00F908AB" w:rsidRPr="005B6049" w:rsidRDefault="00F908AB" w:rsidP="00661430">
      <w:pPr>
        <w:spacing w:line="320" w:lineRule="exact"/>
        <w:jc w:val="both"/>
        <w:rPr>
          <w:sz w:val="24"/>
          <w:szCs w:val="24"/>
        </w:rPr>
      </w:pPr>
    </w:p>
    <w:p w14:paraId="1DE7D350" w14:textId="5C0C9969" w:rsidR="00D85221" w:rsidRPr="005B6049" w:rsidRDefault="00D85221" w:rsidP="00661430">
      <w:pPr>
        <w:spacing w:line="320" w:lineRule="exact"/>
        <w:jc w:val="both"/>
        <w:rPr>
          <w:sz w:val="24"/>
          <w:szCs w:val="24"/>
        </w:rPr>
      </w:pPr>
      <w:r w:rsidRPr="005B6049">
        <w:rPr>
          <w:sz w:val="24"/>
          <w:szCs w:val="24"/>
        </w:rPr>
        <w:t>Přílohy:</w:t>
      </w:r>
    </w:p>
    <w:p w14:paraId="331C7085" w14:textId="500EDA8B" w:rsidR="00384875" w:rsidRPr="005B6049" w:rsidRDefault="00E1378A" w:rsidP="00661430">
      <w:pPr>
        <w:spacing w:line="320" w:lineRule="exact"/>
        <w:jc w:val="both"/>
        <w:rPr>
          <w:rFonts w:cstheme="minorHAnsi"/>
          <w:i/>
          <w:sz w:val="24"/>
          <w:szCs w:val="24"/>
        </w:rPr>
      </w:pPr>
      <w:r w:rsidRPr="005B6049">
        <w:rPr>
          <w:rFonts w:cstheme="minorHAnsi"/>
          <w:i/>
          <w:sz w:val="24"/>
          <w:szCs w:val="24"/>
        </w:rPr>
        <w:t>CSPCZ02_CSP02_40_úprava.xlsx</w:t>
      </w:r>
      <w:bookmarkStart w:id="0" w:name="_GoBack"/>
      <w:bookmarkEnd w:id="0"/>
    </w:p>
    <w:p w14:paraId="135DA894" w14:textId="77777777" w:rsidR="00E1378A" w:rsidRPr="005B6049" w:rsidRDefault="00E1378A" w:rsidP="00661430">
      <w:pPr>
        <w:spacing w:line="320" w:lineRule="exact"/>
        <w:jc w:val="both"/>
        <w:rPr>
          <w:rFonts w:cstheme="minorHAnsi"/>
          <w:i/>
          <w:sz w:val="24"/>
          <w:szCs w:val="24"/>
        </w:rPr>
      </w:pPr>
      <w:r w:rsidRPr="005B6049">
        <w:rPr>
          <w:rFonts w:cstheme="minorHAnsi"/>
          <w:i/>
          <w:sz w:val="24"/>
          <w:szCs w:val="24"/>
        </w:rPr>
        <w:t>DOFOS40_DOFO40_11_úprava.xlsx</w:t>
      </w:r>
      <w:r w:rsidRPr="005B6049" w:rsidDel="00E1378A">
        <w:rPr>
          <w:rFonts w:cstheme="minorHAnsi"/>
          <w:i/>
          <w:sz w:val="24"/>
          <w:szCs w:val="24"/>
        </w:rPr>
        <w:t xml:space="preserve"> </w:t>
      </w:r>
    </w:p>
    <w:p w14:paraId="0BB5B71D" w14:textId="77777777" w:rsidR="00E1378A" w:rsidRPr="005B6049" w:rsidRDefault="00E1378A" w:rsidP="00661430">
      <w:pPr>
        <w:spacing w:line="320" w:lineRule="exact"/>
        <w:jc w:val="both"/>
        <w:rPr>
          <w:rFonts w:cstheme="minorHAnsi"/>
          <w:i/>
          <w:sz w:val="24"/>
          <w:szCs w:val="24"/>
        </w:rPr>
      </w:pPr>
      <w:r w:rsidRPr="005B6049">
        <w:rPr>
          <w:rFonts w:cstheme="minorHAnsi"/>
          <w:i/>
          <w:sz w:val="24"/>
          <w:szCs w:val="24"/>
        </w:rPr>
        <w:t>DOFOS60_DOFO60_12_upravy.xlsx</w:t>
      </w:r>
      <w:r w:rsidRPr="005B6049" w:rsidDel="00E1378A">
        <w:rPr>
          <w:rFonts w:cstheme="minorHAnsi"/>
          <w:i/>
          <w:sz w:val="24"/>
          <w:szCs w:val="24"/>
        </w:rPr>
        <w:t xml:space="preserve"> </w:t>
      </w:r>
    </w:p>
    <w:p w14:paraId="7953E980" w14:textId="2F18C18F" w:rsidR="003D7F7A" w:rsidRPr="005B6049" w:rsidRDefault="003D7F7A" w:rsidP="00661430">
      <w:pPr>
        <w:spacing w:line="320" w:lineRule="exact"/>
        <w:jc w:val="both"/>
        <w:rPr>
          <w:rFonts w:cstheme="minorHAnsi"/>
          <w:i/>
          <w:sz w:val="24"/>
          <w:szCs w:val="24"/>
        </w:rPr>
      </w:pPr>
      <w:r w:rsidRPr="005B6049">
        <w:rPr>
          <w:rFonts w:cstheme="minorHAnsi"/>
          <w:i/>
          <w:sz w:val="24"/>
          <w:szCs w:val="24"/>
        </w:rPr>
        <w:t>OZN10_úprava_výkazu.xlsx</w:t>
      </w:r>
    </w:p>
    <w:p w14:paraId="63C65D72" w14:textId="27031F03" w:rsidR="003D7F7A" w:rsidRPr="005B6049" w:rsidRDefault="003D7F7A" w:rsidP="00661430">
      <w:pPr>
        <w:spacing w:line="320" w:lineRule="exact"/>
        <w:jc w:val="both"/>
        <w:rPr>
          <w:rFonts w:cstheme="minorHAnsi"/>
          <w:i/>
          <w:sz w:val="24"/>
          <w:szCs w:val="24"/>
        </w:rPr>
      </w:pPr>
      <w:r w:rsidRPr="005B6049">
        <w:rPr>
          <w:rFonts w:cstheme="minorHAnsi"/>
          <w:i/>
          <w:sz w:val="24"/>
          <w:szCs w:val="24"/>
        </w:rPr>
        <w:t>FDMI01.xlsx</w:t>
      </w:r>
    </w:p>
    <w:p w14:paraId="3DC98597" w14:textId="2CDB87D1" w:rsidR="003D7F7A" w:rsidRPr="005B6049" w:rsidRDefault="003D7F7A" w:rsidP="00661430">
      <w:pPr>
        <w:spacing w:line="320" w:lineRule="exact"/>
        <w:jc w:val="both"/>
        <w:rPr>
          <w:rFonts w:cstheme="minorHAnsi"/>
          <w:i/>
          <w:sz w:val="24"/>
          <w:szCs w:val="24"/>
        </w:rPr>
      </w:pPr>
      <w:r w:rsidRPr="005B6049">
        <w:rPr>
          <w:rFonts w:cstheme="minorHAnsi"/>
          <w:i/>
          <w:sz w:val="24"/>
          <w:szCs w:val="24"/>
        </w:rPr>
        <w:t>FDNO01.xlsx</w:t>
      </w:r>
    </w:p>
    <w:p w14:paraId="10A8CE1B" w14:textId="1423D9C3" w:rsidR="006955D8" w:rsidRPr="005B6049" w:rsidRDefault="006955D8" w:rsidP="00661430">
      <w:pPr>
        <w:spacing w:line="320" w:lineRule="exact"/>
        <w:jc w:val="both"/>
        <w:rPr>
          <w:rFonts w:cstheme="minorHAnsi"/>
          <w:i/>
          <w:sz w:val="24"/>
          <w:szCs w:val="24"/>
        </w:rPr>
      </w:pPr>
      <w:r w:rsidRPr="005B6049">
        <w:rPr>
          <w:rFonts w:cstheme="minorHAnsi"/>
          <w:i/>
          <w:sz w:val="24"/>
          <w:szCs w:val="24"/>
        </w:rPr>
        <w:t>Návrh MVK pro sdružování pokynů</w:t>
      </w:r>
    </w:p>
    <w:p w14:paraId="3E65D94B" w14:textId="04B5521F" w:rsidR="003D7A1D" w:rsidRPr="005B6049" w:rsidRDefault="003D7A1D" w:rsidP="00661430">
      <w:pPr>
        <w:spacing w:line="320" w:lineRule="exact"/>
        <w:jc w:val="both"/>
        <w:rPr>
          <w:rFonts w:cstheme="minorHAnsi"/>
          <w:i/>
          <w:sz w:val="24"/>
          <w:szCs w:val="24"/>
        </w:rPr>
      </w:pPr>
      <w:r w:rsidRPr="005B6049">
        <w:rPr>
          <w:rFonts w:cstheme="minorHAnsi"/>
          <w:i/>
          <w:sz w:val="24"/>
          <w:szCs w:val="24"/>
        </w:rPr>
        <w:t>Návrh MVK pro pobočky zahraničních OCP</w:t>
      </w:r>
    </w:p>
    <w:p w14:paraId="5AD6B77F" w14:textId="77777777" w:rsidR="006955D8" w:rsidRPr="005B6049" w:rsidRDefault="006955D8" w:rsidP="00661430">
      <w:pPr>
        <w:spacing w:line="320" w:lineRule="exact"/>
        <w:jc w:val="both"/>
        <w:rPr>
          <w:rFonts w:cstheme="minorHAnsi"/>
          <w:i/>
          <w:sz w:val="24"/>
          <w:szCs w:val="24"/>
        </w:rPr>
      </w:pPr>
    </w:p>
    <w:p w14:paraId="03524802" w14:textId="6BEEC126" w:rsidR="00D85221" w:rsidRPr="0052403E" w:rsidRDefault="00D85221" w:rsidP="00661430">
      <w:pPr>
        <w:spacing w:line="320" w:lineRule="exact"/>
        <w:jc w:val="both"/>
        <w:rPr>
          <w:sz w:val="24"/>
          <w:szCs w:val="24"/>
        </w:rPr>
      </w:pPr>
    </w:p>
    <w:sectPr w:rsidR="00D85221" w:rsidRPr="0052403E" w:rsidSect="006C421F">
      <w:footerReference w:type="default" r:id="rId27"/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2FD1C7" w14:textId="77777777" w:rsidR="00D5508E" w:rsidRDefault="00D5508E">
      <w:pPr>
        <w:spacing w:after="0" w:line="240" w:lineRule="auto"/>
      </w:pPr>
      <w:r>
        <w:separator/>
      </w:r>
    </w:p>
  </w:endnote>
  <w:endnote w:type="continuationSeparator" w:id="0">
    <w:p w14:paraId="107F8433" w14:textId="77777777" w:rsidR="00D5508E" w:rsidRDefault="00D550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27036577"/>
      <w:docPartObj>
        <w:docPartGallery w:val="Page Numbers (Bottom of Page)"/>
        <w:docPartUnique/>
      </w:docPartObj>
    </w:sdtPr>
    <w:sdtEndPr/>
    <w:sdtContent>
      <w:p w14:paraId="0CB74128" w14:textId="08A20FD5" w:rsidR="006C421F" w:rsidRDefault="00E72676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A2CCF">
          <w:rPr>
            <w:noProof/>
          </w:rPr>
          <w:t>1</w:t>
        </w:r>
        <w:r>
          <w:fldChar w:fldCharType="end"/>
        </w:r>
      </w:p>
    </w:sdtContent>
  </w:sdt>
  <w:p w14:paraId="6D4B5AB2" w14:textId="77777777" w:rsidR="006C421F" w:rsidRDefault="006C421F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0259A9" w14:textId="77777777" w:rsidR="00D5508E" w:rsidRDefault="00D5508E">
      <w:pPr>
        <w:spacing w:after="0" w:line="240" w:lineRule="auto"/>
      </w:pPr>
      <w:r>
        <w:separator/>
      </w:r>
    </w:p>
  </w:footnote>
  <w:footnote w:type="continuationSeparator" w:id="0">
    <w:p w14:paraId="757383D5" w14:textId="77777777" w:rsidR="00D5508E" w:rsidRDefault="00D550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A5FE9"/>
    <w:multiLevelType w:val="hybridMultilevel"/>
    <w:tmpl w:val="68EEF28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AF5EFB"/>
    <w:multiLevelType w:val="hybridMultilevel"/>
    <w:tmpl w:val="7EDADD34"/>
    <w:lvl w:ilvl="0" w:tplc="A962C56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1A3195"/>
    <w:multiLevelType w:val="hybridMultilevel"/>
    <w:tmpl w:val="F3467C8A"/>
    <w:lvl w:ilvl="0" w:tplc="F32A47A4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26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0E67E8"/>
    <w:multiLevelType w:val="hybridMultilevel"/>
    <w:tmpl w:val="0B787E5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03356A"/>
    <w:multiLevelType w:val="hybridMultilevel"/>
    <w:tmpl w:val="7EDADD34"/>
    <w:lvl w:ilvl="0" w:tplc="A962C56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3771D7"/>
    <w:multiLevelType w:val="hybridMultilevel"/>
    <w:tmpl w:val="3D429B60"/>
    <w:lvl w:ilvl="0" w:tplc="04050001">
      <w:start w:val="1"/>
      <w:numFmt w:val="bullet"/>
      <w:lvlText w:val=""/>
      <w:lvlJc w:val="left"/>
      <w:pPr>
        <w:ind w:left="133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05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7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9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21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93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5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7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95" w:hanging="360"/>
      </w:pPr>
      <w:rPr>
        <w:rFonts w:ascii="Wingdings" w:hAnsi="Wingdings" w:hint="default"/>
      </w:rPr>
    </w:lvl>
  </w:abstractNum>
  <w:abstractNum w:abstractNumId="6" w15:restartNumberingAfterBreak="0">
    <w:nsid w:val="0D0B0B62"/>
    <w:multiLevelType w:val="hybridMultilevel"/>
    <w:tmpl w:val="CC0CA44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D675D4A"/>
    <w:multiLevelType w:val="hybridMultilevel"/>
    <w:tmpl w:val="E1DAF3F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613E60"/>
    <w:multiLevelType w:val="hybridMultilevel"/>
    <w:tmpl w:val="38463B7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780463"/>
    <w:multiLevelType w:val="hybridMultilevel"/>
    <w:tmpl w:val="7EDADD34"/>
    <w:lvl w:ilvl="0" w:tplc="A962C56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5E53965"/>
    <w:multiLevelType w:val="hybridMultilevel"/>
    <w:tmpl w:val="E59E86A2"/>
    <w:lvl w:ilvl="0" w:tplc="040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6F43908"/>
    <w:multiLevelType w:val="hybridMultilevel"/>
    <w:tmpl w:val="0142915A"/>
    <w:lvl w:ilvl="0" w:tplc="38186200">
      <w:start w:val="1"/>
      <w:numFmt w:val="lowerLetter"/>
      <w:lvlText w:val="%1)"/>
      <w:lvlJc w:val="left"/>
      <w:pPr>
        <w:ind w:left="720" w:hanging="72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9C79DA"/>
    <w:multiLevelType w:val="hybridMultilevel"/>
    <w:tmpl w:val="F5AC672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83A237E"/>
    <w:multiLevelType w:val="hybridMultilevel"/>
    <w:tmpl w:val="9AA06C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C8544E4"/>
    <w:multiLevelType w:val="hybridMultilevel"/>
    <w:tmpl w:val="27044F4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33843D8"/>
    <w:multiLevelType w:val="hybridMultilevel"/>
    <w:tmpl w:val="C9D44A6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48A7E1C"/>
    <w:multiLevelType w:val="hybridMultilevel"/>
    <w:tmpl w:val="8056E1A0"/>
    <w:lvl w:ilvl="0" w:tplc="00484B34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7D60642"/>
    <w:multiLevelType w:val="hybridMultilevel"/>
    <w:tmpl w:val="A378C85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8EB6DA2"/>
    <w:multiLevelType w:val="hybridMultilevel"/>
    <w:tmpl w:val="7EDADD34"/>
    <w:lvl w:ilvl="0" w:tplc="A962C562">
      <w:start w:val="1"/>
      <w:numFmt w:val="lowerLetter"/>
      <w:lvlText w:val="%1)"/>
      <w:lvlJc w:val="left"/>
      <w:pPr>
        <w:ind w:left="502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222" w:hanging="360"/>
      </w:pPr>
    </w:lvl>
    <w:lvl w:ilvl="2" w:tplc="0405001B" w:tentative="1">
      <w:start w:val="1"/>
      <w:numFmt w:val="lowerRoman"/>
      <w:lvlText w:val="%3."/>
      <w:lvlJc w:val="right"/>
      <w:pPr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 w15:restartNumberingAfterBreak="0">
    <w:nsid w:val="29CB1700"/>
    <w:multiLevelType w:val="hybridMultilevel"/>
    <w:tmpl w:val="D6EEE1F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DCF0E63"/>
    <w:multiLevelType w:val="hybridMultilevel"/>
    <w:tmpl w:val="7EDADD34"/>
    <w:lvl w:ilvl="0" w:tplc="A962C56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1B17FDC"/>
    <w:multiLevelType w:val="hybridMultilevel"/>
    <w:tmpl w:val="8FE6146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2DF5827"/>
    <w:multiLevelType w:val="hybridMultilevel"/>
    <w:tmpl w:val="3216DED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35A4477"/>
    <w:multiLevelType w:val="hybridMultilevel"/>
    <w:tmpl w:val="57B2DF8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6872946"/>
    <w:multiLevelType w:val="hybridMultilevel"/>
    <w:tmpl w:val="1C34699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68E18F0"/>
    <w:multiLevelType w:val="hybridMultilevel"/>
    <w:tmpl w:val="7EDADD34"/>
    <w:lvl w:ilvl="0" w:tplc="A962C56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91D502E"/>
    <w:multiLevelType w:val="hybridMultilevel"/>
    <w:tmpl w:val="7EDADD34"/>
    <w:lvl w:ilvl="0" w:tplc="A962C56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0ED13E9"/>
    <w:multiLevelType w:val="hybridMultilevel"/>
    <w:tmpl w:val="B1EAF238"/>
    <w:lvl w:ilvl="0" w:tplc="FA8208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18967FC"/>
    <w:multiLevelType w:val="hybridMultilevel"/>
    <w:tmpl w:val="21B21C6C"/>
    <w:lvl w:ilvl="0" w:tplc="E8964DA4">
      <w:numFmt w:val="bullet"/>
      <w:lvlText w:val="-"/>
      <w:lvlJc w:val="left"/>
      <w:pPr>
        <w:ind w:left="1070" w:hanging="71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4F5395D"/>
    <w:multiLevelType w:val="hybridMultilevel"/>
    <w:tmpl w:val="B770E924"/>
    <w:lvl w:ilvl="0" w:tplc="44A60A20">
      <w:numFmt w:val="bullet"/>
      <w:lvlText w:val="-"/>
      <w:lvlJc w:val="left"/>
      <w:pPr>
        <w:ind w:left="1065" w:hanging="705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64C212B"/>
    <w:multiLevelType w:val="hybridMultilevel"/>
    <w:tmpl w:val="6D523FF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6E323E3"/>
    <w:multiLevelType w:val="hybridMultilevel"/>
    <w:tmpl w:val="0C80FF1E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489B381B"/>
    <w:multiLevelType w:val="hybridMultilevel"/>
    <w:tmpl w:val="520AC0BE"/>
    <w:lvl w:ilvl="0" w:tplc="040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3" w15:restartNumberingAfterBreak="0">
    <w:nsid w:val="4F7B76A0"/>
    <w:multiLevelType w:val="hybridMultilevel"/>
    <w:tmpl w:val="7DB05A84"/>
    <w:lvl w:ilvl="0" w:tplc="A962C562">
      <w:start w:val="1"/>
      <w:numFmt w:val="lowerLetter"/>
      <w:lvlText w:val="%1)"/>
      <w:lvlJc w:val="left"/>
      <w:pPr>
        <w:ind w:left="502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222" w:hanging="360"/>
      </w:pPr>
    </w:lvl>
    <w:lvl w:ilvl="2" w:tplc="0405001B" w:tentative="1">
      <w:start w:val="1"/>
      <w:numFmt w:val="lowerRoman"/>
      <w:lvlText w:val="%3."/>
      <w:lvlJc w:val="right"/>
      <w:pPr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4" w15:restartNumberingAfterBreak="0">
    <w:nsid w:val="506167F5"/>
    <w:multiLevelType w:val="hybridMultilevel"/>
    <w:tmpl w:val="C406C04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25D0ABB"/>
    <w:multiLevelType w:val="hybridMultilevel"/>
    <w:tmpl w:val="B6BE445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3CD25D2"/>
    <w:multiLevelType w:val="hybridMultilevel"/>
    <w:tmpl w:val="6AFA6FB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5F67860"/>
    <w:multiLevelType w:val="hybridMultilevel"/>
    <w:tmpl w:val="7EDADD34"/>
    <w:lvl w:ilvl="0" w:tplc="A962C56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8173AE0"/>
    <w:multiLevelType w:val="hybridMultilevel"/>
    <w:tmpl w:val="B178B600"/>
    <w:lvl w:ilvl="0" w:tplc="50B0F85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9293F25"/>
    <w:multiLevelType w:val="hybridMultilevel"/>
    <w:tmpl w:val="60DC5F3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32676F7"/>
    <w:multiLevelType w:val="hybridMultilevel"/>
    <w:tmpl w:val="D7ACA402"/>
    <w:lvl w:ilvl="0" w:tplc="6D70E47A">
      <w:start w:val="1"/>
      <w:numFmt w:val="lowerLetter"/>
      <w:lvlText w:val="%1)"/>
      <w:lvlJc w:val="left"/>
      <w:pPr>
        <w:ind w:left="360" w:hanging="360"/>
      </w:pPr>
      <w:rPr>
        <w:rFonts w:asciiTheme="minorHAnsi" w:hAnsiTheme="minorHAnsi" w:cstheme="minorHAnsi" w:hint="default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6A481D15"/>
    <w:multiLevelType w:val="hybridMultilevel"/>
    <w:tmpl w:val="E59E86A2"/>
    <w:lvl w:ilvl="0" w:tplc="040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6BF72468"/>
    <w:multiLevelType w:val="hybridMultilevel"/>
    <w:tmpl w:val="A19082B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1BF74D8"/>
    <w:multiLevelType w:val="hybridMultilevel"/>
    <w:tmpl w:val="243A2662"/>
    <w:lvl w:ilvl="0" w:tplc="DFF0A36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62239A9"/>
    <w:multiLevelType w:val="hybridMultilevel"/>
    <w:tmpl w:val="7A4086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6DB11A8"/>
    <w:multiLevelType w:val="hybridMultilevel"/>
    <w:tmpl w:val="0B7AA0C8"/>
    <w:lvl w:ilvl="0" w:tplc="04050019">
      <w:start w:val="1"/>
      <w:numFmt w:val="low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CCB419F"/>
    <w:multiLevelType w:val="hybridMultilevel"/>
    <w:tmpl w:val="6E08BFF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DC72007"/>
    <w:multiLevelType w:val="hybridMultilevel"/>
    <w:tmpl w:val="BDF051F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40"/>
  </w:num>
  <w:num w:numId="3">
    <w:abstractNumId w:val="45"/>
  </w:num>
  <w:num w:numId="4">
    <w:abstractNumId w:val="29"/>
  </w:num>
  <w:num w:numId="5">
    <w:abstractNumId w:val="24"/>
  </w:num>
  <w:num w:numId="6">
    <w:abstractNumId w:val="24"/>
  </w:num>
  <w:num w:numId="7">
    <w:abstractNumId w:val="12"/>
  </w:num>
  <w:num w:numId="8">
    <w:abstractNumId w:val="21"/>
  </w:num>
  <w:num w:numId="9">
    <w:abstractNumId w:val="8"/>
  </w:num>
  <w:num w:numId="10">
    <w:abstractNumId w:val="5"/>
  </w:num>
  <w:num w:numId="11">
    <w:abstractNumId w:val="3"/>
  </w:num>
  <w:num w:numId="12">
    <w:abstractNumId w:val="19"/>
  </w:num>
  <w:num w:numId="13">
    <w:abstractNumId w:val="43"/>
  </w:num>
  <w:num w:numId="14">
    <w:abstractNumId w:val="2"/>
  </w:num>
  <w:num w:numId="15">
    <w:abstractNumId w:val="37"/>
  </w:num>
  <w:num w:numId="16">
    <w:abstractNumId w:val="46"/>
  </w:num>
  <w:num w:numId="17">
    <w:abstractNumId w:val="17"/>
  </w:num>
  <w:num w:numId="18">
    <w:abstractNumId w:val="16"/>
  </w:num>
  <w:num w:numId="19">
    <w:abstractNumId w:val="0"/>
  </w:num>
  <w:num w:numId="20">
    <w:abstractNumId w:val="13"/>
  </w:num>
  <w:num w:numId="21">
    <w:abstractNumId w:val="34"/>
  </w:num>
  <w:num w:numId="22">
    <w:abstractNumId w:val="22"/>
  </w:num>
  <w:num w:numId="23">
    <w:abstractNumId w:val="27"/>
  </w:num>
  <w:num w:numId="24">
    <w:abstractNumId w:val="42"/>
  </w:num>
  <w:num w:numId="25">
    <w:abstractNumId w:val="47"/>
  </w:num>
  <w:num w:numId="26">
    <w:abstractNumId w:val="30"/>
  </w:num>
  <w:num w:numId="27">
    <w:abstractNumId w:val="36"/>
  </w:num>
  <w:num w:numId="28">
    <w:abstractNumId w:val="28"/>
  </w:num>
  <w:num w:numId="29">
    <w:abstractNumId w:val="31"/>
  </w:num>
  <w:num w:numId="30">
    <w:abstractNumId w:val="10"/>
  </w:num>
  <w:num w:numId="31">
    <w:abstractNumId w:val="15"/>
  </w:num>
  <w:num w:numId="32">
    <w:abstractNumId w:val="4"/>
  </w:num>
  <w:num w:numId="33">
    <w:abstractNumId w:val="20"/>
  </w:num>
  <w:num w:numId="34">
    <w:abstractNumId w:val="25"/>
  </w:num>
  <w:num w:numId="35">
    <w:abstractNumId w:val="44"/>
  </w:num>
  <w:num w:numId="36">
    <w:abstractNumId w:val="1"/>
  </w:num>
  <w:num w:numId="37">
    <w:abstractNumId w:val="9"/>
  </w:num>
  <w:num w:numId="38">
    <w:abstractNumId w:val="41"/>
  </w:num>
  <w:num w:numId="39">
    <w:abstractNumId w:val="6"/>
  </w:num>
  <w:num w:numId="40">
    <w:abstractNumId w:val="35"/>
  </w:num>
  <w:num w:numId="41">
    <w:abstractNumId w:val="38"/>
  </w:num>
  <w:num w:numId="42">
    <w:abstractNumId w:val="39"/>
  </w:num>
  <w:num w:numId="43">
    <w:abstractNumId w:val="14"/>
  </w:num>
  <w:num w:numId="44">
    <w:abstractNumId w:val="32"/>
  </w:num>
  <w:num w:numId="45">
    <w:abstractNumId w:val="7"/>
  </w:num>
  <w:num w:numId="46">
    <w:abstractNumId w:val="26"/>
  </w:num>
  <w:num w:numId="47">
    <w:abstractNumId w:val="11"/>
  </w:num>
  <w:num w:numId="48">
    <w:abstractNumId w:val="33"/>
  </w:num>
  <w:num w:numId="4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/>
  <w:defaultTabStop w:val="708"/>
  <w:hyphenationZone w:val="425"/>
  <w:characterSpacingControl w:val="doNotCompress"/>
  <w:hdrShapeDefaults>
    <o:shapedefaults v:ext="edit" spidmax="716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FA0"/>
    <w:rsid w:val="00000421"/>
    <w:rsid w:val="0000657B"/>
    <w:rsid w:val="000074ED"/>
    <w:rsid w:val="000149C3"/>
    <w:rsid w:val="0002259F"/>
    <w:rsid w:val="00026EB4"/>
    <w:rsid w:val="000307DF"/>
    <w:rsid w:val="00030B47"/>
    <w:rsid w:val="000334C1"/>
    <w:rsid w:val="0003756B"/>
    <w:rsid w:val="00037F64"/>
    <w:rsid w:val="0004053D"/>
    <w:rsid w:val="00043686"/>
    <w:rsid w:val="00045507"/>
    <w:rsid w:val="00046579"/>
    <w:rsid w:val="00052A05"/>
    <w:rsid w:val="00055B9E"/>
    <w:rsid w:val="00056475"/>
    <w:rsid w:val="0006230D"/>
    <w:rsid w:val="00062535"/>
    <w:rsid w:val="00062A7F"/>
    <w:rsid w:val="0007188F"/>
    <w:rsid w:val="00071A65"/>
    <w:rsid w:val="000728A0"/>
    <w:rsid w:val="000761F7"/>
    <w:rsid w:val="00076BD1"/>
    <w:rsid w:val="000842C0"/>
    <w:rsid w:val="0008610C"/>
    <w:rsid w:val="000916AF"/>
    <w:rsid w:val="00093081"/>
    <w:rsid w:val="00095565"/>
    <w:rsid w:val="000961A4"/>
    <w:rsid w:val="000A1402"/>
    <w:rsid w:val="000A5828"/>
    <w:rsid w:val="000A688A"/>
    <w:rsid w:val="000A7A5B"/>
    <w:rsid w:val="000C138E"/>
    <w:rsid w:val="000C5003"/>
    <w:rsid w:val="000D3D48"/>
    <w:rsid w:val="000D7D9C"/>
    <w:rsid w:val="000F3A3D"/>
    <w:rsid w:val="000F536B"/>
    <w:rsid w:val="001041FC"/>
    <w:rsid w:val="001156F9"/>
    <w:rsid w:val="00115C6B"/>
    <w:rsid w:val="00116625"/>
    <w:rsid w:val="001240C2"/>
    <w:rsid w:val="00131840"/>
    <w:rsid w:val="00136BA1"/>
    <w:rsid w:val="00137978"/>
    <w:rsid w:val="001379FA"/>
    <w:rsid w:val="00141369"/>
    <w:rsid w:val="0015020A"/>
    <w:rsid w:val="001625D4"/>
    <w:rsid w:val="00162F20"/>
    <w:rsid w:val="00163A22"/>
    <w:rsid w:val="00172D47"/>
    <w:rsid w:val="00180FD2"/>
    <w:rsid w:val="00183027"/>
    <w:rsid w:val="001834F6"/>
    <w:rsid w:val="00183EC4"/>
    <w:rsid w:val="00185C36"/>
    <w:rsid w:val="0018718B"/>
    <w:rsid w:val="001921CF"/>
    <w:rsid w:val="00196AC8"/>
    <w:rsid w:val="001974F9"/>
    <w:rsid w:val="00197728"/>
    <w:rsid w:val="001A17DF"/>
    <w:rsid w:val="001B5FA7"/>
    <w:rsid w:val="001B7751"/>
    <w:rsid w:val="001C2BC8"/>
    <w:rsid w:val="001C50A3"/>
    <w:rsid w:val="001C5A08"/>
    <w:rsid w:val="001E0B61"/>
    <w:rsid w:val="001E0C33"/>
    <w:rsid w:val="001E56D7"/>
    <w:rsid w:val="001F0DDA"/>
    <w:rsid w:val="001F494D"/>
    <w:rsid w:val="001F4A4A"/>
    <w:rsid w:val="001F5285"/>
    <w:rsid w:val="00200446"/>
    <w:rsid w:val="00202EA0"/>
    <w:rsid w:val="00204A77"/>
    <w:rsid w:val="00206A42"/>
    <w:rsid w:val="00207074"/>
    <w:rsid w:val="00210F97"/>
    <w:rsid w:val="00211A2F"/>
    <w:rsid w:val="00212ADB"/>
    <w:rsid w:val="00217413"/>
    <w:rsid w:val="002252D3"/>
    <w:rsid w:val="00225714"/>
    <w:rsid w:val="00233109"/>
    <w:rsid w:val="002352C5"/>
    <w:rsid w:val="00246DEE"/>
    <w:rsid w:val="00251577"/>
    <w:rsid w:val="00252314"/>
    <w:rsid w:val="002559C5"/>
    <w:rsid w:val="00260DA6"/>
    <w:rsid w:val="00267CC0"/>
    <w:rsid w:val="00270E03"/>
    <w:rsid w:val="00271E68"/>
    <w:rsid w:val="00272F6C"/>
    <w:rsid w:val="00273982"/>
    <w:rsid w:val="0027621B"/>
    <w:rsid w:val="0027648E"/>
    <w:rsid w:val="00285095"/>
    <w:rsid w:val="002920FA"/>
    <w:rsid w:val="00292874"/>
    <w:rsid w:val="002A1EB0"/>
    <w:rsid w:val="002B30D1"/>
    <w:rsid w:val="002B3D6F"/>
    <w:rsid w:val="002B7FA8"/>
    <w:rsid w:val="002D205D"/>
    <w:rsid w:val="002D3C5B"/>
    <w:rsid w:val="002D668B"/>
    <w:rsid w:val="002D6F7E"/>
    <w:rsid w:val="002D76CD"/>
    <w:rsid w:val="002E05FE"/>
    <w:rsid w:val="002E147F"/>
    <w:rsid w:val="002E31FD"/>
    <w:rsid w:val="002E3F5E"/>
    <w:rsid w:val="002E79B7"/>
    <w:rsid w:val="002F0F65"/>
    <w:rsid w:val="002F7DAA"/>
    <w:rsid w:val="00300D86"/>
    <w:rsid w:val="00305554"/>
    <w:rsid w:val="00312958"/>
    <w:rsid w:val="0032006E"/>
    <w:rsid w:val="00320CC6"/>
    <w:rsid w:val="003234D1"/>
    <w:rsid w:val="0032480D"/>
    <w:rsid w:val="00331CDE"/>
    <w:rsid w:val="00332907"/>
    <w:rsid w:val="00332B51"/>
    <w:rsid w:val="00336E40"/>
    <w:rsid w:val="00341772"/>
    <w:rsid w:val="003430C4"/>
    <w:rsid w:val="00356970"/>
    <w:rsid w:val="00361F8B"/>
    <w:rsid w:val="0036240E"/>
    <w:rsid w:val="0036332A"/>
    <w:rsid w:val="003656CF"/>
    <w:rsid w:val="00366305"/>
    <w:rsid w:val="00370260"/>
    <w:rsid w:val="003725DA"/>
    <w:rsid w:val="003736AA"/>
    <w:rsid w:val="00381126"/>
    <w:rsid w:val="003814DA"/>
    <w:rsid w:val="003816AE"/>
    <w:rsid w:val="003822D9"/>
    <w:rsid w:val="00384875"/>
    <w:rsid w:val="00384FA4"/>
    <w:rsid w:val="00386AE2"/>
    <w:rsid w:val="003920EE"/>
    <w:rsid w:val="00395723"/>
    <w:rsid w:val="003979B3"/>
    <w:rsid w:val="00397A61"/>
    <w:rsid w:val="003A5FE8"/>
    <w:rsid w:val="003B4B9C"/>
    <w:rsid w:val="003C348B"/>
    <w:rsid w:val="003D25B5"/>
    <w:rsid w:val="003D4A54"/>
    <w:rsid w:val="003D5D1E"/>
    <w:rsid w:val="003D7A1D"/>
    <w:rsid w:val="003D7F7A"/>
    <w:rsid w:val="003E0E18"/>
    <w:rsid w:val="003E150F"/>
    <w:rsid w:val="003E3638"/>
    <w:rsid w:val="003E3750"/>
    <w:rsid w:val="003F0086"/>
    <w:rsid w:val="00401162"/>
    <w:rsid w:val="004041DE"/>
    <w:rsid w:val="00410E7A"/>
    <w:rsid w:val="00411F55"/>
    <w:rsid w:val="00414A79"/>
    <w:rsid w:val="00417DA9"/>
    <w:rsid w:val="004212D8"/>
    <w:rsid w:val="00423269"/>
    <w:rsid w:val="004249BD"/>
    <w:rsid w:val="004319E1"/>
    <w:rsid w:val="00440115"/>
    <w:rsid w:val="004459D8"/>
    <w:rsid w:val="00445E0C"/>
    <w:rsid w:val="004466EB"/>
    <w:rsid w:val="00451819"/>
    <w:rsid w:val="00454B0B"/>
    <w:rsid w:val="0046445E"/>
    <w:rsid w:val="00464578"/>
    <w:rsid w:val="00475AF7"/>
    <w:rsid w:val="004808D2"/>
    <w:rsid w:val="00486F52"/>
    <w:rsid w:val="00490E3E"/>
    <w:rsid w:val="004A58D2"/>
    <w:rsid w:val="004B18E6"/>
    <w:rsid w:val="004B52EE"/>
    <w:rsid w:val="004B683E"/>
    <w:rsid w:val="004C5120"/>
    <w:rsid w:val="004C52FD"/>
    <w:rsid w:val="004D6186"/>
    <w:rsid w:val="004E132F"/>
    <w:rsid w:val="004E63D2"/>
    <w:rsid w:val="004E7A32"/>
    <w:rsid w:val="004F377F"/>
    <w:rsid w:val="00501099"/>
    <w:rsid w:val="00501FA0"/>
    <w:rsid w:val="00506B00"/>
    <w:rsid w:val="00506F95"/>
    <w:rsid w:val="005170D6"/>
    <w:rsid w:val="005173E9"/>
    <w:rsid w:val="0052403E"/>
    <w:rsid w:val="00524DCE"/>
    <w:rsid w:val="00534450"/>
    <w:rsid w:val="00536D6B"/>
    <w:rsid w:val="005373B1"/>
    <w:rsid w:val="00537BD0"/>
    <w:rsid w:val="005430BD"/>
    <w:rsid w:val="00546C6B"/>
    <w:rsid w:val="00552EC8"/>
    <w:rsid w:val="00560FA9"/>
    <w:rsid w:val="00561371"/>
    <w:rsid w:val="0056651C"/>
    <w:rsid w:val="0057261B"/>
    <w:rsid w:val="00575225"/>
    <w:rsid w:val="00577BF6"/>
    <w:rsid w:val="00582581"/>
    <w:rsid w:val="00583B98"/>
    <w:rsid w:val="00586D89"/>
    <w:rsid w:val="00592E35"/>
    <w:rsid w:val="00597587"/>
    <w:rsid w:val="00597684"/>
    <w:rsid w:val="005A3EBC"/>
    <w:rsid w:val="005A4849"/>
    <w:rsid w:val="005A48FF"/>
    <w:rsid w:val="005A52A9"/>
    <w:rsid w:val="005B353B"/>
    <w:rsid w:val="005B5287"/>
    <w:rsid w:val="005B6049"/>
    <w:rsid w:val="005B6423"/>
    <w:rsid w:val="005B64C9"/>
    <w:rsid w:val="005C4B29"/>
    <w:rsid w:val="005C58F5"/>
    <w:rsid w:val="005C6B49"/>
    <w:rsid w:val="005D101B"/>
    <w:rsid w:val="005D1D7C"/>
    <w:rsid w:val="005D5059"/>
    <w:rsid w:val="005D679E"/>
    <w:rsid w:val="005E56D9"/>
    <w:rsid w:val="005F11FD"/>
    <w:rsid w:val="005F4F55"/>
    <w:rsid w:val="00601434"/>
    <w:rsid w:val="00601F0A"/>
    <w:rsid w:val="00603774"/>
    <w:rsid w:val="00615085"/>
    <w:rsid w:val="00623685"/>
    <w:rsid w:val="00633906"/>
    <w:rsid w:val="00635B16"/>
    <w:rsid w:val="006420FF"/>
    <w:rsid w:val="00643E73"/>
    <w:rsid w:val="00644701"/>
    <w:rsid w:val="006575E7"/>
    <w:rsid w:val="00661430"/>
    <w:rsid w:val="00662A6C"/>
    <w:rsid w:val="00664462"/>
    <w:rsid w:val="00666E80"/>
    <w:rsid w:val="0066754B"/>
    <w:rsid w:val="006776D5"/>
    <w:rsid w:val="00691D1A"/>
    <w:rsid w:val="00692ED5"/>
    <w:rsid w:val="0069337D"/>
    <w:rsid w:val="006955D8"/>
    <w:rsid w:val="006976B8"/>
    <w:rsid w:val="0069783D"/>
    <w:rsid w:val="006A146C"/>
    <w:rsid w:val="006A1A70"/>
    <w:rsid w:val="006B226A"/>
    <w:rsid w:val="006B5916"/>
    <w:rsid w:val="006C3BEB"/>
    <w:rsid w:val="006C41EC"/>
    <w:rsid w:val="006C421F"/>
    <w:rsid w:val="006D6280"/>
    <w:rsid w:val="006E2EFE"/>
    <w:rsid w:val="006E3436"/>
    <w:rsid w:val="006E5DEE"/>
    <w:rsid w:val="006E7BE3"/>
    <w:rsid w:val="006E7C9D"/>
    <w:rsid w:val="006F08A8"/>
    <w:rsid w:val="006F1418"/>
    <w:rsid w:val="006F184C"/>
    <w:rsid w:val="006F59C0"/>
    <w:rsid w:val="00705398"/>
    <w:rsid w:val="00720CC4"/>
    <w:rsid w:val="00721B6E"/>
    <w:rsid w:val="00726429"/>
    <w:rsid w:val="00731D13"/>
    <w:rsid w:val="00732964"/>
    <w:rsid w:val="00734223"/>
    <w:rsid w:val="00741ED2"/>
    <w:rsid w:val="00742B2F"/>
    <w:rsid w:val="0074553B"/>
    <w:rsid w:val="00757CBE"/>
    <w:rsid w:val="0076290A"/>
    <w:rsid w:val="00771C4C"/>
    <w:rsid w:val="007756FB"/>
    <w:rsid w:val="0077589E"/>
    <w:rsid w:val="00781FEF"/>
    <w:rsid w:val="00787127"/>
    <w:rsid w:val="007906CE"/>
    <w:rsid w:val="007922BD"/>
    <w:rsid w:val="00795342"/>
    <w:rsid w:val="007A15BD"/>
    <w:rsid w:val="007A43EE"/>
    <w:rsid w:val="007B7838"/>
    <w:rsid w:val="007C533B"/>
    <w:rsid w:val="007C75FB"/>
    <w:rsid w:val="007D01D4"/>
    <w:rsid w:val="007E3BA8"/>
    <w:rsid w:val="007E64B1"/>
    <w:rsid w:val="007F1D51"/>
    <w:rsid w:val="007F2469"/>
    <w:rsid w:val="007F3CD5"/>
    <w:rsid w:val="00801F32"/>
    <w:rsid w:val="008142A0"/>
    <w:rsid w:val="008176DB"/>
    <w:rsid w:val="008212F1"/>
    <w:rsid w:val="008262AA"/>
    <w:rsid w:val="00830F5D"/>
    <w:rsid w:val="00833C70"/>
    <w:rsid w:val="00837B22"/>
    <w:rsid w:val="0084191F"/>
    <w:rsid w:val="008502F9"/>
    <w:rsid w:val="00862984"/>
    <w:rsid w:val="008633FB"/>
    <w:rsid w:val="00865A4C"/>
    <w:rsid w:val="00870863"/>
    <w:rsid w:val="00877869"/>
    <w:rsid w:val="00894531"/>
    <w:rsid w:val="00896998"/>
    <w:rsid w:val="008A3432"/>
    <w:rsid w:val="008A3866"/>
    <w:rsid w:val="008A5FE4"/>
    <w:rsid w:val="008A684A"/>
    <w:rsid w:val="008B2C0F"/>
    <w:rsid w:val="008B52E0"/>
    <w:rsid w:val="008B54B5"/>
    <w:rsid w:val="008B5ED7"/>
    <w:rsid w:val="008E5C85"/>
    <w:rsid w:val="008E63A2"/>
    <w:rsid w:val="008E712B"/>
    <w:rsid w:val="008F1488"/>
    <w:rsid w:val="008F3340"/>
    <w:rsid w:val="008F45C6"/>
    <w:rsid w:val="00910440"/>
    <w:rsid w:val="00920158"/>
    <w:rsid w:val="00920B45"/>
    <w:rsid w:val="00923AE0"/>
    <w:rsid w:val="00924FF4"/>
    <w:rsid w:val="009267B3"/>
    <w:rsid w:val="00931D39"/>
    <w:rsid w:val="00935052"/>
    <w:rsid w:val="009350A2"/>
    <w:rsid w:val="00935A72"/>
    <w:rsid w:val="0094490A"/>
    <w:rsid w:val="00945906"/>
    <w:rsid w:val="00945C63"/>
    <w:rsid w:val="00946685"/>
    <w:rsid w:val="00946E4F"/>
    <w:rsid w:val="00947A22"/>
    <w:rsid w:val="00950268"/>
    <w:rsid w:val="00951323"/>
    <w:rsid w:val="0095185C"/>
    <w:rsid w:val="00952E61"/>
    <w:rsid w:val="009563C7"/>
    <w:rsid w:val="00961057"/>
    <w:rsid w:val="0096204A"/>
    <w:rsid w:val="00965E38"/>
    <w:rsid w:val="00973FFF"/>
    <w:rsid w:val="0097516D"/>
    <w:rsid w:val="00985B4A"/>
    <w:rsid w:val="00987584"/>
    <w:rsid w:val="00995154"/>
    <w:rsid w:val="00995C50"/>
    <w:rsid w:val="00996AB1"/>
    <w:rsid w:val="009A4922"/>
    <w:rsid w:val="009B0562"/>
    <w:rsid w:val="009B5B9F"/>
    <w:rsid w:val="009B5E17"/>
    <w:rsid w:val="009B6386"/>
    <w:rsid w:val="009C7733"/>
    <w:rsid w:val="009D06F3"/>
    <w:rsid w:val="009D677F"/>
    <w:rsid w:val="009E10AA"/>
    <w:rsid w:val="009E36F9"/>
    <w:rsid w:val="009E4046"/>
    <w:rsid w:val="009E5D5D"/>
    <w:rsid w:val="009E7D01"/>
    <w:rsid w:val="009F6E12"/>
    <w:rsid w:val="009F7C40"/>
    <w:rsid w:val="00A02592"/>
    <w:rsid w:val="00A060DE"/>
    <w:rsid w:val="00A218D3"/>
    <w:rsid w:val="00A30BF0"/>
    <w:rsid w:val="00A3273A"/>
    <w:rsid w:val="00A35494"/>
    <w:rsid w:val="00A3573B"/>
    <w:rsid w:val="00A42475"/>
    <w:rsid w:val="00A44F7B"/>
    <w:rsid w:val="00A44FE4"/>
    <w:rsid w:val="00A64C8B"/>
    <w:rsid w:val="00A64FDF"/>
    <w:rsid w:val="00A73FDC"/>
    <w:rsid w:val="00A814CF"/>
    <w:rsid w:val="00A85594"/>
    <w:rsid w:val="00A91BA1"/>
    <w:rsid w:val="00A96FBB"/>
    <w:rsid w:val="00AA0443"/>
    <w:rsid w:val="00AA12A1"/>
    <w:rsid w:val="00AA1927"/>
    <w:rsid w:val="00AA2CCF"/>
    <w:rsid w:val="00AA7C0E"/>
    <w:rsid w:val="00AB258A"/>
    <w:rsid w:val="00AB4197"/>
    <w:rsid w:val="00AB4590"/>
    <w:rsid w:val="00AB5157"/>
    <w:rsid w:val="00AC40F4"/>
    <w:rsid w:val="00AC7FDF"/>
    <w:rsid w:val="00AD3CE1"/>
    <w:rsid w:val="00AD4D39"/>
    <w:rsid w:val="00AD530B"/>
    <w:rsid w:val="00AE61F7"/>
    <w:rsid w:val="00AF5C02"/>
    <w:rsid w:val="00B04F40"/>
    <w:rsid w:val="00B11EA6"/>
    <w:rsid w:val="00B1589C"/>
    <w:rsid w:val="00B15B5B"/>
    <w:rsid w:val="00B15EED"/>
    <w:rsid w:val="00B24151"/>
    <w:rsid w:val="00B34054"/>
    <w:rsid w:val="00B36E01"/>
    <w:rsid w:val="00B412C1"/>
    <w:rsid w:val="00B4239C"/>
    <w:rsid w:val="00B43172"/>
    <w:rsid w:val="00B46EDA"/>
    <w:rsid w:val="00B53AD7"/>
    <w:rsid w:val="00B563DD"/>
    <w:rsid w:val="00B60FED"/>
    <w:rsid w:val="00B62E62"/>
    <w:rsid w:val="00B757BF"/>
    <w:rsid w:val="00B759DA"/>
    <w:rsid w:val="00B978E6"/>
    <w:rsid w:val="00BA350A"/>
    <w:rsid w:val="00BA5BED"/>
    <w:rsid w:val="00BC08C3"/>
    <w:rsid w:val="00BC759E"/>
    <w:rsid w:val="00BD3431"/>
    <w:rsid w:val="00BD4682"/>
    <w:rsid w:val="00BD6232"/>
    <w:rsid w:val="00BE1006"/>
    <w:rsid w:val="00BE1BAF"/>
    <w:rsid w:val="00BE209B"/>
    <w:rsid w:val="00BE372F"/>
    <w:rsid w:val="00BE4D37"/>
    <w:rsid w:val="00BE7001"/>
    <w:rsid w:val="00BF07EF"/>
    <w:rsid w:val="00BF5345"/>
    <w:rsid w:val="00C01685"/>
    <w:rsid w:val="00C0188C"/>
    <w:rsid w:val="00C01A07"/>
    <w:rsid w:val="00C02D9B"/>
    <w:rsid w:val="00C03A6A"/>
    <w:rsid w:val="00C04F99"/>
    <w:rsid w:val="00C05699"/>
    <w:rsid w:val="00C109B7"/>
    <w:rsid w:val="00C143B3"/>
    <w:rsid w:val="00C1532D"/>
    <w:rsid w:val="00C20846"/>
    <w:rsid w:val="00C27A06"/>
    <w:rsid w:val="00C30A19"/>
    <w:rsid w:val="00C327C7"/>
    <w:rsid w:val="00C578EF"/>
    <w:rsid w:val="00C6363F"/>
    <w:rsid w:val="00C739ED"/>
    <w:rsid w:val="00C80E50"/>
    <w:rsid w:val="00C87099"/>
    <w:rsid w:val="00CA3B63"/>
    <w:rsid w:val="00CA534A"/>
    <w:rsid w:val="00CB4375"/>
    <w:rsid w:val="00CE781A"/>
    <w:rsid w:val="00CF544C"/>
    <w:rsid w:val="00D01885"/>
    <w:rsid w:val="00D0637D"/>
    <w:rsid w:val="00D06EB5"/>
    <w:rsid w:val="00D1400B"/>
    <w:rsid w:val="00D346F4"/>
    <w:rsid w:val="00D401FE"/>
    <w:rsid w:val="00D52DB2"/>
    <w:rsid w:val="00D5508E"/>
    <w:rsid w:val="00D60A88"/>
    <w:rsid w:val="00D61962"/>
    <w:rsid w:val="00D64201"/>
    <w:rsid w:val="00D66CBF"/>
    <w:rsid w:val="00D73133"/>
    <w:rsid w:val="00D81243"/>
    <w:rsid w:val="00D816A7"/>
    <w:rsid w:val="00D83C8F"/>
    <w:rsid w:val="00D85221"/>
    <w:rsid w:val="00D92B25"/>
    <w:rsid w:val="00D94753"/>
    <w:rsid w:val="00DA0540"/>
    <w:rsid w:val="00DA1912"/>
    <w:rsid w:val="00DB1577"/>
    <w:rsid w:val="00DB1841"/>
    <w:rsid w:val="00DB33D9"/>
    <w:rsid w:val="00DC125F"/>
    <w:rsid w:val="00DC1E90"/>
    <w:rsid w:val="00DC5699"/>
    <w:rsid w:val="00DC5BF9"/>
    <w:rsid w:val="00DD1C5C"/>
    <w:rsid w:val="00DD42E9"/>
    <w:rsid w:val="00DF019C"/>
    <w:rsid w:val="00DF2B61"/>
    <w:rsid w:val="00DF72F7"/>
    <w:rsid w:val="00E057C9"/>
    <w:rsid w:val="00E06722"/>
    <w:rsid w:val="00E1378A"/>
    <w:rsid w:val="00E1475A"/>
    <w:rsid w:val="00E173F7"/>
    <w:rsid w:val="00E356A6"/>
    <w:rsid w:val="00E35E65"/>
    <w:rsid w:val="00E43EC3"/>
    <w:rsid w:val="00E45F65"/>
    <w:rsid w:val="00E66F09"/>
    <w:rsid w:val="00E679FD"/>
    <w:rsid w:val="00E67DC9"/>
    <w:rsid w:val="00E72676"/>
    <w:rsid w:val="00E74DEF"/>
    <w:rsid w:val="00E7587F"/>
    <w:rsid w:val="00E8013D"/>
    <w:rsid w:val="00E81D78"/>
    <w:rsid w:val="00E835B1"/>
    <w:rsid w:val="00E85E6F"/>
    <w:rsid w:val="00E915E6"/>
    <w:rsid w:val="00E91D3C"/>
    <w:rsid w:val="00E945A7"/>
    <w:rsid w:val="00EA0F84"/>
    <w:rsid w:val="00EA1842"/>
    <w:rsid w:val="00EA2264"/>
    <w:rsid w:val="00EA23F9"/>
    <w:rsid w:val="00EA3E5E"/>
    <w:rsid w:val="00EA528B"/>
    <w:rsid w:val="00EA55E6"/>
    <w:rsid w:val="00EA565B"/>
    <w:rsid w:val="00EB07B4"/>
    <w:rsid w:val="00EB3921"/>
    <w:rsid w:val="00EB57A1"/>
    <w:rsid w:val="00EC0CDE"/>
    <w:rsid w:val="00EC1F76"/>
    <w:rsid w:val="00EC57CC"/>
    <w:rsid w:val="00EC7D65"/>
    <w:rsid w:val="00EC7EBE"/>
    <w:rsid w:val="00ED1AD0"/>
    <w:rsid w:val="00ED6E59"/>
    <w:rsid w:val="00ED7964"/>
    <w:rsid w:val="00ED7D7B"/>
    <w:rsid w:val="00EE2C1F"/>
    <w:rsid w:val="00EF06AB"/>
    <w:rsid w:val="00EF41CE"/>
    <w:rsid w:val="00EF4F7E"/>
    <w:rsid w:val="00EF52D2"/>
    <w:rsid w:val="00EF6DE2"/>
    <w:rsid w:val="00EF7847"/>
    <w:rsid w:val="00F000EC"/>
    <w:rsid w:val="00F02E9D"/>
    <w:rsid w:val="00F03250"/>
    <w:rsid w:val="00F079A8"/>
    <w:rsid w:val="00F07ECD"/>
    <w:rsid w:val="00F15810"/>
    <w:rsid w:val="00F15AF8"/>
    <w:rsid w:val="00F1711B"/>
    <w:rsid w:val="00F2018E"/>
    <w:rsid w:val="00F25E52"/>
    <w:rsid w:val="00F33DDB"/>
    <w:rsid w:val="00F34522"/>
    <w:rsid w:val="00F37E61"/>
    <w:rsid w:val="00F41550"/>
    <w:rsid w:val="00F4199D"/>
    <w:rsid w:val="00F419FC"/>
    <w:rsid w:val="00F57A59"/>
    <w:rsid w:val="00F63879"/>
    <w:rsid w:val="00F648BB"/>
    <w:rsid w:val="00F667A7"/>
    <w:rsid w:val="00F706AA"/>
    <w:rsid w:val="00F70DD2"/>
    <w:rsid w:val="00F71A3A"/>
    <w:rsid w:val="00F77D83"/>
    <w:rsid w:val="00F84060"/>
    <w:rsid w:val="00F908AB"/>
    <w:rsid w:val="00F90B15"/>
    <w:rsid w:val="00FA2634"/>
    <w:rsid w:val="00FB2D4C"/>
    <w:rsid w:val="00FB45B5"/>
    <w:rsid w:val="00FB6947"/>
    <w:rsid w:val="00FC42C9"/>
    <w:rsid w:val="00FE5C68"/>
    <w:rsid w:val="00FF02F9"/>
    <w:rsid w:val="00FF2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1"/>
    <o:shapelayout v:ext="edit">
      <o:idmap v:ext="edit" data="1"/>
    </o:shapelayout>
  </w:shapeDefaults>
  <w:decimalSymbol w:val=","/>
  <w:listSeparator w:val=";"/>
  <w14:docId w14:val="1F6C8EA0"/>
  <w15:docId w15:val="{DA88EEE9-68C6-4654-AA99-5EFE92B45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501FA0"/>
    <w:pPr>
      <w:spacing w:after="200" w:line="276" w:lineRule="auto"/>
    </w:pPr>
  </w:style>
  <w:style w:type="paragraph" w:styleId="Nadpis1">
    <w:name w:val="heading 1"/>
    <w:basedOn w:val="Normln"/>
    <w:next w:val="Normln"/>
    <w:link w:val="Nadpis1Char"/>
    <w:uiPriority w:val="9"/>
    <w:qFormat/>
    <w:rsid w:val="00D9475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501FA0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501FA0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styleId="Odkaznakoment">
    <w:name w:val="annotation reference"/>
    <w:basedOn w:val="Standardnpsmoodstavce"/>
    <w:uiPriority w:val="99"/>
    <w:semiHidden/>
    <w:unhideWhenUsed/>
    <w:rsid w:val="00501FA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501FA0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501FA0"/>
    <w:rPr>
      <w:sz w:val="20"/>
      <w:szCs w:val="20"/>
    </w:rPr>
  </w:style>
  <w:style w:type="paragraph" w:styleId="Odstavecseseznamem">
    <w:name w:val="List Paragraph"/>
    <w:aliases w:val="Paragraphe EI,Paragraphe de liste1,EC,Paragraphe de liste,Dot pt,F5 List Paragraph,List Paragraph1,Normal numbered,No Spacing1,List Paragraph Char Char Char,Indicator Text,Numbered Para 1,Bullet 1,Bullet Points,MAIN CONTENT,List 1,3"/>
    <w:basedOn w:val="Normln"/>
    <w:link w:val="OdstavecseseznamemChar"/>
    <w:uiPriority w:val="34"/>
    <w:qFormat/>
    <w:rsid w:val="00501FA0"/>
    <w:pPr>
      <w:ind w:left="720"/>
      <w:contextualSpacing/>
    </w:pPr>
  </w:style>
  <w:style w:type="paragraph" w:styleId="Zpat">
    <w:name w:val="footer"/>
    <w:basedOn w:val="Normln"/>
    <w:link w:val="ZpatChar"/>
    <w:uiPriority w:val="99"/>
    <w:unhideWhenUsed/>
    <w:rsid w:val="00501FA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01FA0"/>
  </w:style>
  <w:style w:type="character" w:styleId="Hypertextovodkaz">
    <w:name w:val="Hyperlink"/>
    <w:basedOn w:val="Standardnpsmoodstavce"/>
    <w:uiPriority w:val="99"/>
    <w:unhideWhenUsed/>
    <w:rsid w:val="00501FA0"/>
    <w:rPr>
      <w:color w:val="0563C1" w:themeColor="hyperlink"/>
      <w:u w:val="single"/>
    </w:rPr>
  </w:style>
  <w:style w:type="paragraph" w:customStyle="1" w:styleId="Default">
    <w:name w:val="Default"/>
    <w:basedOn w:val="Normln"/>
    <w:rsid w:val="00501FA0"/>
    <w:pPr>
      <w:autoSpaceDE w:val="0"/>
      <w:autoSpaceDN w:val="0"/>
      <w:spacing w:after="0" w:line="240" w:lineRule="auto"/>
    </w:pPr>
    <w:rPr>
      <w:rFonts w:ascii="Verdana" w:hAnsi="Verdana" w:cs="Times New Roman"/>
      <w:color w:val="000000"/>
      <w:sz w:val="24"/>
      <w:szCs w:val="24"/>
      <w:lang w:eastAsia="zh-CN"/>
    </w:rPr>
  </w:style>
  <w:style w:type="character" w:customStyle="1" w:styleId="OdstavecseseznamemChar">
    <w:name w:val="Odstavec se seznamem Char"/>
    <w:aliases w:val="Paragraphe EI Char,Paragraphe de liste1 Char,EC Char,Paragraphe de liste Char,Dot pt Char,F5 List Paragraph Char,List Paragraph1 Char,Normal numbered Char,No Spacing1 Char,List Paragraph Char Char Char Char,Indicator Text Char"/>
    <w:basedOn w:val="Standardnpsmoodstavce"/>
    <w:link w:val="Odstavecseseznamem"/>
    <w:uiPriority w:val="34"/>
    <w:qFormat/>
    <w:locked/>
    <w:rsid w:val="00501FA0"/>
  </w:style>
  <w:style w:type="paragraph" w:styleId="Textbubliny">
    <w:name w:val="Balloon Text"/>
    <w:basedOn w:val="Normln"/>
    <w:link w:val="TextbublinyChar"/>
    <w:uiPriority w:val="99"/>
    <w:semiHidden/>
    <w:unhideWhenUsed/>
    <w:rsid w:val="00501F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01FA0"/>
    <w:rPr>
      <w:rFonts w:ascii="Segoe UI" w:hAnsi="Segoe UI" w:cs="Segoe UI"/>
      <w:sz w:val="18"/>
      <w:szCs w:val="18"/>
    </w:rPr>
  </w:style>
  <w:style w:type="paragraph" w:customStyle="1" w:styleId="NadpisMN">
    <w:name w:val="Nadpis_MN"/>
    <w:basedOn w:val="Nzev"/>
    <w:next w:val="Normln"/>
    <w:qFormat/>
    <w:rsid w:val="00501FA0"/>
    <w:pPr>
      <w:pBdr>
        <w:bottom w:val="single" w:sz="8" w:space="4" w:color="5B9BD5" w:themeColor="accent1"/>
      </w:pBdr>
      <w:spacing w:before="240" w:after="240"/>
    </w:pPr>
    <w:rPr>
      <w:rFonts w:ascii="Calibri" w:hAnsi="Calibri"/>
      <w:b/>
      <w:caps/>
      <w:color w:val="323E4F" w:themeColor="text2" w:themeShade="BF"/>
      <w:spacing w:val="5"/>
      <w:sz w:val="22"/>
      <w:szCs w:val="52"/>
    </w:rPr>
  </w:style>
  <w:style w:type="paragraph" w:styleId="Nzev">
    <w:name w:val="Title"/>
    <w:basedOn w:val="Normln"/>
    <w:next w:val="Normln"/>
    <w:link w:val="NzevChar"/>
    <w:uiPriority w:val="10"/>
    <w:qFormat/>
    <w:rsid w:val="00501FA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501F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01FA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01FA0"/>
    <w:rPr>
      <w:b/>
      <w:bCs/>
      <w:sz w:val="20"/>
      <w:szCs w:val="20"/>
    </w:rPr>
  </w:style>
  <w:style w:type="character" w:styleId="Sledovanodkaz">
    <w:name w:val="FollowedHyperlink"/>
    <w:basedOn w:val="Standardnpsmoodstavce"/>
    <w:uiPriority w:val="99"/>
    <w:semiHidden/>
    <w:unhideWhenUsed/>
    <w:rsid w:val="00270E03"/>
    <w:rPr>
      <w:color w:val="954F72" w:themeColor="followedHyperlink"/>
      <w:u w:val="single"/>
    </w:rPr>
  </w:style>
  <w:style w:type="paragraph" w:styleId="Revize">
    <w:name w:val="Revision"/>
    <w:hidden/>
    <w:uiPriority w:val="99"/>
    <w:semiHidden/>
    <w:rsid w:val="003979B3"/>
    <w:pPr>
      <w:spacing w:after="0" w:line="240" w:lineRule="auto"/>
    </w:pPr>
  </w:style>
  <w:style w:type="paragraph" w:styleId="Textpoznpodarou">
    <w:name w:val="footnote text"/>
    <w:basedOn w:val="Normln"/>
    <w:link w:val="TextpoznpodarouChar"/>
    <w:qFormat/>
    <w:rsid w:val="001E56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rsid w:val="001E56D7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aliases w:val="Footnote Reference Number,Footnote Reference_LVL6,Footnote Reference_LVL61,Footnote Reference_LVL62,Footnote Reference_LVL63,Footnote Reference_LVL64,Footnote symbol,Footnote reference number,Fußnotenzeichen3,Char1"/>
    <w:qFormat/>
    <w:rsid w:val="001E56D7"/>
    <w:rPr>
      <w:vertAlign w:val="superscript"/>
    </w:rPr>
  </w:style>
  <w:style w:type="character" w:customStyle="1" w:styleId="Nadpis1Char">
    <w:name w:val="Nadpis 1 Char"/>
    <w:basedOn w:val="Standardnpsmoodstavce"/>
    <w:link w:val="Nadpis1"/>
    <w:uiPriority w:val="9"/>
    <w:rsid w:val="00D9475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zmezer">
    <w:name w:val="No Spacing"/>
    <w:uiPriority w:val="1"/>
    <w:qFormat/>
    <w:rsid w:val="00AE61F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924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5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64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3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3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8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3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4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0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2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0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7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6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33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8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47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7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ur-lex.europa.eu/legal-content/EN/TXT/PDF/?uri=CELEX:32023R0137&amp;qid=1699007861790" TargetMode="External"/><Relationship Id="rId13" Type="http://schemas.openxmlformats.org/officeDocument/2006/relationships/hyperlink" Target="https://www.eba.europa.eu/risk-and-data-analysis/reporting-frameworks/reporting-framework-42" TargetMode="External"/><Relationship Id="rId18" Type="http://schemas.openxmlformats.org/officeDocument/2006/relationships/hyperlink" Target="https://www.cnb.cz/cs/dohled-financni-trh/legislativni-zakladna/obchodovani-s-otc-derivaty-a-sekuritizace/metodicke-a-vykladove-materialy/" TargetMode="External"/><Relationship Id="rId26" Type="http://schemas.openxmlformats.org/officeDocument/2006/relationships/hyperlink" Target="mailto:dora650@cnb.cz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cnb.cz/dora-vykazy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esma.europa.eu/document/mifir-review-consultation-package-non-equity-trade-transparency-reasonable-commercial" TargetMode="External"/><Relationship Id="rId17" Type="http://schemas.openxmlformats.org/officeDocument/2006/relationships/hyperlink" Target="mailto:emir@cnb.cz" TargetMode="External"/><Relationship Id="rId25" Type="http://schemas.openxmlformats.org/officeDocument/2006/relationships/hyperlink" Target="mailto:dora580@cnb.cz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view.officeapps.live.com/op/view.aspx?src=https%3A%2F%2Fwww.esma.europa.eu%2Fsites%2Fdefault%2Ffiles%2F2024-12%2FAAR_notification_template.xlsx&amp;wdOrigin=BROWSELINK" TargetMode="External"/><Relationship Id="rId20" Type="http://schemas.openxmlformats.org/officeDocument/2006/relationships/hyperlink" Target="https://www.eba.europa.eu/sites/default/files/2025-03/48958acb-1c6d-40f0-9784-961713759972/JC%202024-34_Draft%20final%20report%20GL%20on%20costs%20and%20losses_for%20translation_CS.pdf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esma.europa.eu/press-news/consultations/mifir-consultation-review-rts-22-transaction-data-reporting-and-rts-24" TargetMode="External"/><Relationship Id="rId24" Type="http://schemas.openxmlformats.org/officeDocument/2006/relationships/hyperlink" Target="mailto:kt.stat@cnb.cz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emir@cnb.cz" TargetMode="External"/><Relationship Id="rId23" Type="http://schemas.openxmlformats.org/officeDocument/2006/relationships/hyperlink" Target="mailto:mfsreporting@cnb.cz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eur-lex.europa.eu/legal-content/EN/TXT/?uri=CELEX%3A02014R0600-20240328" TargetMode="External"/><Relationship Id="rId19" Type="http://schemas.openxmlformats.org/officeDocument/2006/relationships/hyperlink" Target="https://www.cnb.cz/cs/dohled-financni-trh/legislativni-zakladna/obchodovani-s-otc-derivaty-a-sekuritizace/metodicke-a-vykladove-materialy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cnb.cz/cs/statistika/menova_bankovni_stat/metodicke-poznamky/informace-k-upravam-ve-vykaznictvi-investicnich-fondu-vyplyvajicich-z-revidovaneho-narizeni-ecb-2013-38/vykazovani-dat-investicnich-fondu/" TargetMode="External"/><Relationship Id="rId14" Type="http://schemas.openxmlformats.org/officeDocument/2006/relationships/hyperlink" Target="https://www.eba.europa.eu/risk-and-data-analysis/reporting-frameworks/dpm-data-dictionary" TargetMode="External"/><Relationship Id="rId22" Type="http://schemas.openxmlformats.org/officeDocument/2006/relationships/hyperlink" Target="mailto:sdat@cnb.cz" TargetMode="External"/><Relationship Id="rId2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481E9C-E9F1-4A59-A66D-318A4104E8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368</TotalTime>
  <Pages>11</Pages>
  <Words>3526</Words>
  <Characters>20809</Characters>
  <Application>Microsoft Office Word</Application>
  <DocSecurity>0</DocSecurity>
  <Lines>173</Lines>
  <Paragraphs>48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Česká národní banka</Company>
  <LinksUpToDate>false</LinksUpToDate>
  <CharactersWithSpaces>24287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Schillerová Pavla</dc:creator>
  <cp:keywords/>
  <dc:description/>
  <cp:lastModifiedBy>Frýdlová Iva</cp:lastModifiedBy>
  <cp:revision>31</cp:revision>
  <dcterms:created xsi:type="dcterms:W3CDTF">2025-05-27T12:11:00Z</dcterms:created>
  <dcterms:modified xsi:type="dcterms:W3CDTF">2025-06-04T07:09:00Z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76d9757-80ae-4c87-b4d7-9ffa7a0710d0_Enabled">
    <vt:lpwstr>true</vt:lpwstr>
  </property>
  <property fmtid="{D5CDD505-2E9C-101B-9397-08002B2CF9AE}" pid="3" name="MSIP_Label_076d9757-80ae-4c87-b4d7-9ffa7a0710d0_SetDate">
    <vt:lpwstr>2024-09-06T14:50:08Z</vt:lpwstr>
  </property>
  <property fmtid="{D5CDD505-2E9C-101B-9397-08002B2CF9AE}" pid="4" name="MSIP_Label_076d9757-80ae-4c87-b4d7-9ffa7a0710d0_Method">
    <vt:lpwstr>Standard</vt:lpwstr>
  </property>
  <property fmtid="{D5CDD505-2E9C-101B-9397-08002B2CF9AE}" pid="5" name="MSIP_Label_076d9757-80ae-4c87-b4d7-9ffa7a0710d0_Name">
    <vt:lpwstr>076d9757-80ae-4c87-b4d7-9ffa7a0710d0</vt:lpwstr>
  </property>
  <property fmtid="{D5CDD505-2E9C-101B-9397-08002B2CF9AE}" pid="6" name="MSIP_Label_076d9757-80ae-4c87-b4d7-9ffa7a0710d0_SiteId">
    <vt:lpwstr>c79e7c80-cff5-4503-b468-3702cea89272</vt:lpwstr>
  </property>
  <property fmtid="{D5CDD505-2E9C-101B-9397-08002B2CF9AE}" pid="7" name="MSIP_Label_076d9757-80ae-4c87-b4d7-9ffa7a0710d0_ActionId">
    <vt:lpwstr>32487268-f7d0-46dd-b8a6-a75431b953bc</vt:lpwstr>
  </property>
  <property fmtid="{D5CDD505-2E9C-101B-9397-08002B2CF9AE}" pid="8" name="MSIP_Label_076d9757-80ae-4c87-b4d7-9ffa7a0710d0_ContentBits">
    <vt:lpwstr>0</vt:lpwstr>
  </property>
  <property fmtid="{D5CDD505-2E9C-101B-9397-08002B2CF9AE}" pid="9" name="Kod_Duvernosti">
    <vt:lpwstr>KB_C1_INTERNAL_992521</vt:lpwstr>
  </property>
</Properties>
</file>