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CB" w:rsidRPr="00ED7212" w:rsidRDefault="00050DCB" w:rsidP="00050DCB">
      <w:pPr>
        <w:jc w:val="both"/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</w:pPr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>Stručný přehled věcných změn výkazů „</w:t>
      </w:r>
      <w:proofErr w:type="spellStart"/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>corep</w:t>
      </w:r>
      <w:proofErr w:type="spellEnd"/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 xml:space="preserve"> </w:t>
      </w:r>
      <w:proofErr w:type="spellStart"/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>of</w:t>
      </w:r>
      <w:proofErr w:type="spellEnd"/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>“, „</w:t>
      </w:r>
      <w:proofErr w:type="spellStart"/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>corep</w:t>
      </w:r>
      <w:proofErr w:type="spellEnd"/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 xml:space="preserve"> alm“, „</w:t>
      </w:r>
      <w:proofErr w:type="spellStart"/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>ae</w:t>
      </w:r>
      <w:proofErr w:type="spellEnd"/>
      <w:r w:rsidRPr="00ED7212">
        <w:rPr>
          <w:rFonts w:ascii="Arial" w:eastAsia="Times New Roman" w:hAnsi="Arial" w:cs="Arial"/>
          <w:b/>
          <w:color w:val="538135" w:themeColor="accent6" w:themeShade="BF"/>
          <w:sz w:val="23"/>
          <w:szCs w:val="23"/>
          <w:lang w:eastAsia="cs-CZ"/>
        </w:rPr>
        <w:t>“ v rámci EBA metodiky v3.2</w:t>
      </w:r>
    </w:p>
    <w:p w:rsidR="00050DCB" w:rsidRPr="00ED7212" w:rsidRDefault="00050DCB" w:rsidP="00050DCB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  <w:r w:rsidRPr="00050DCB">
        <w:rPr>
          <w:rFonts w:ascii="Arial" w:hAnsi="Arial" w:cs="Arial"/>
          <w:b/>
          <w:color w:val="538135" w:themeColor="accent6" w:themeShade="BF"/>
          <w:sz w:val="23"/>
          <w:szCs w:val="23"/>
        </w:rPr>
        <w:t xml:space="preserve">Změny se týkají primárně oblasti </w:t>
      </w:r>
      <w:proofErr w:type="spellStart"/>
      <w:r w:rsidRPr="00050DCB">
        <w:rPr>
          <w:rFonts w:ascii="Arial" w:hAnsi="Arial" w:cs="Arial"/>
          <w:b/>
          <w:color w:val="538135" w:themeColor="accent6" w:themeShade="BF"/>
          <w:sz w:val="23"/>
          <w:szCs w:val="23"/>
        </w:rPr>
        <w:t>sekuritizace</w:t>
      </w:r>
      <w:proofErr w:type="spellEnd"/>
      <w:r w:rsidRPr="00050DCB">
        <w:rPr>
          <w:rFonts w:ascii="Arial" w:hAnsi="Arial" w:cs="Arial"/>
          <w:b/>
          <w:color w:val="538135" w:themeColor="accent6" w:themeShade="BF"/>
          <w:sz w:val="23"/>
          <w:szCs w:val="23"/>
        </w:rPr>
        <w:t xml:space="preserve">. </w:t>
      </w:r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 xml:space="preserve">Dochází k úpravám šablon C 13.01, C 14.00 a C14.01 a návazně k úpravám šablon tržního rizika C19.00 a C20, zejména doplněním nových bloků obsahující informace o NPE </w:t>
      </w:r>
      <w:proofErr w:type="spellStart"/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>sekuritizacích</w:t>
      </w:r>
      <w:proofErr w:type="spellEnd"/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 xml:space="preserve"> a rozšířením tabulky Podrobných informací o </w:t>
      </w:r>
      <w:proofErr w:type="spellStart"/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>sekuritizacích</w:t>
      </w:r>
      <w:proofErr w:type="spellEnd"/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>.</w:t>
      </w:r>
    </w:p>
    <w:p w:rsidR="00050DCB" w:rsidRPr="00ED7212" w:rsidRDefault="00050DCB" w:rsidP="00050DCB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>V šablonách kapitálové přiměřenosti C 01.00 a C02.00 jsou nově doplněny položky, související s možností částečně</w:t>
      </w:r>
      <w:bookmarkStart w:id="0" w:name="_GoBack"/>
      <w:bookmarkEnd w:id="0"/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 xml:space="preserve"> osvobodit od odpočtu z kapitálu nehmotný SW majetek. </w:t>
      </w:r>
    </w:p>
    <w:p w:rsidR="00050DCB" w:rsidRPr="00ED7212" w:rsidRDefault="00050DCB" w:rsidP="00050DCB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 xml:space="preserve">V šabloně úvěrového rizika – akciové expozice C 10.01 je doplněn nový řádek týkající se  subjektů kolektivního investování a v šabloně C 32.01 obezřetné oceňování je nově doplněno podrobnější členění oblasti aktiv a závazků. </w:t>
      </w:r>
    </w:p>
    <w:p w:rsidR="00454306" w:rsidRDefault="00454306" w:rsidP="00050DCB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</w:p>
    <w:p w:rsidR="00050DCB" w:rsidRPr="00ED7212" w:rsidRDefault="00050DCB" w:rsidP="00050DCB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  <w:r w:rsidRPr="00454306">
        <w:rPr>
          <w:rFonts w:ascii="Arial" w:hAnsi="Arial" w:cs="Arial"/>
          <w:b/>
          <w:color w:val="538135" w:themeColor="accent6" w:themeShade="BF"/>
          <w:sz w:val="23"/>
          <w:szCs w:val="23"/>
        </w:rPr>
        <w:t>V oblasti zatížených aktiv (</w:t>
      </w:r>
      <w:proofErr w:type="spellStart"/>
      <w:r w:rsidRPr="00454306">
        <w:rPr>
          <w:rFonts w:ascii="Arial" w:hAnsi="Arial" w:cs="Arial"/>
          <w:b/>
          <w:color w:val="538135" w:themeColor="accent6" w:themeShade="BF"/>
          <w:sz w:val="23"/>
          <w:szCs w:val="23"/>
        </w:rPr>
        <w:t>Asset</w:t>
      </w:r>
      <w:proofErr w:type="spellEnd"/>
      <w:r w:rsidRPr="00454306">
        <w:rPr>
          <w:rFonts w:ascii="Arial" w:hAnsi="Arial" w:cs="Arial"/>
          <w:b/>
          <w:color w:val="538135" w:themeColor="accent6" w:themeShade="BF"/>
          <w:sz w:val="23"/>
          <w:szCs w:val="23"/>
        </w:rPr>
        <w:t xml:space="preserve"> </w:t>
      </w:r>
      <w:proofErr w:type="spellStart"/>
      <w:r w:rsidRPr="00454306">
        <w:rPr>
          <w:rFonts w:ascii="Arial" w:hAnsi="Arial" w:cs="Arial"/>
          <w:b/>
          <w:color w:val="538135" w:themeColor="accent6" w:themeShade="BF"/>
          <w:sz w:val="23"/>
          <w:szCs w:val="23"/>
        </w:rPr>
        <w:t>Encumbrance</w:t>
      </w:r>
      <w:proofErr w:type="spellEnd"/>
      <w:r w:rsidRPr="00454306">
        <w:rPr>
          <w:rFonts w:ascii="Arial" w:hAnsi="Arial" w:cs="Arial"/>
          <w:b/>
          <w:color w:val="538135" w:themeColor="accent6" w:themeShade="BF"/>
          <w:sz w:val="23"/>
          <w:szCs w:val="23"/>
        </w:rPr>
        <w:t>)</w:t>
      </w:r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 xml:space="preserve"> je nově implementován zjednodušený přístup pro malé nekomplexní instituce: vyjmutí SNCI z vykazování F 33.00, F 34.00 a F 36.00. Dále dochází k úpravě šablony F 32.01, vyčlenění svěřeneckých aktiv v návaznosti na revizi definice úrovně zatížení.</w:t>
      </w:r>
    </w:p>
    <w:p w:rsidR="00454306" w:rsidRDefault="00454306" w:rsidP="00050DCB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</w:p>
    <w:p w:rsidR="00050DCB" w:rsidRDefault="00050DCB" w:rsidP="00050DCB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 xml:space="preserve">Nejrozsáhlejší změny se týkají </w:t>
      </w:r>
      <w:r w:rsidRPr="00454306">
        <w:rPr>
          <w:rFonts w:ascii="Arial" w:hAnsi="Arial" w:cs="Arial"/>
          <w:b/>
          <w:color w:val="538135" w:themeColor="accent6" w:themeShade="BF"/>
          <w:sz w:val="23"/>
          <w:szCs w:val="23"/>
        </w:rPr>
        <w:t>vykazování dodatečných monitorovacích nástrojů pro likviditu (ALMM)</w:t>
      </w:r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t xml:space="preserve">, konkrétně implementace zjednodušeného přístupu pro malé nekomplexní instituce (SNCI), v rámci kterého dochází k vyloučení SNCI z vykazování a ke změně frekvence vykazování vybraných datových oblastí. </w:t>
      </w:r>
    </w:p>
    <w:p w:rsidR="00050DCB" w:rsidRPr="00ED7212" w:rsidRDefault="00050DCB" w:rsidP="00050DCB">
      <w:pPr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</w:p>
    <w:tbl>
      <w:tblPr>
        <w:tblW w:w="881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136"/>
        <w:gridCol w:w="1136"/>
        <w:gridCol w:w="1136"/>
        <w:gridCol w:w="1136"/>
        <w:gridCol w:w="1136"/>
        <w:gridCol w:w="1136"/>
      </w:tblGrid>
      <w:tr w:rsidR="00050DCB" w:rsidTr="00B62B90">
        <w:trPr>
          <w:trHeight w:val="263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lang w:val="en-US" w:eastAsia="cs-CZ"/>
              </w:rPr>
            </w:pPr>
            <w:r>
              <w:rPr>
                <w:b/>
                <w:bCs/>
                <w:color w:val="000000"/>
                <w:lang w:val="en-US" w:eastAsia="cs-CZ"/>
              </w:rPr>
              <w:t>Type of institution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lang w:val="en-US" w:eastAsia="cs-CZ"/>
              </w:rPr>
            </w:pPr>
            <w:r>
              <w:rPr>
                <w:b/>
                <w:bCs/>
                <w:color w:val="000000"/>
                <w:lang w:val="en-US" w:eastAsia="cs-CZ"/>
              </w:rPr>
              <w:t>C 66.01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lang w:val="en-US" w:eastAsia="cs-CZ"/>
              </w:rPr>
            </w:pPr>
            <w:r>
              <w:rPr>
                <w:b/>
                <w:bCs/>
                <w:color w:val="000000"/>
                <w:lang w:val="en-US" w:eastAsia="cs-CZ"/>
              </w:rPr>
              <w:t>C 67.00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lang w:val="en-US" w:eastAsia="cs-CZ"/>
              </w:rPr>
            </w:pPr>
            <w:r>
              <w:rPr>
                <w:b/>
                <w:bCs/>
                <w:color w:val="000000"/>
                <w:lang w:val="en-US" w:eastAsia="cs-CZ"/>
              </w:rPr>
              <w:t>C 68.00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lang w:val="en-US" w:eastAsia="cs-CZ"/>
              </w:rPr>
            </w:pPr>
            <w:r>
              <w:rPr>
                <w:b/>
                <w:bCs/>
                <w:color w:val="000000"/>
                <w:lang w:val="en-US" w:eastAsia="cs-CZ"/>
              </w:rPr>
              <w:t>C 69.00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lang w:val="en-US" w:eastAsia="cs-CZ"/>
              </w:rPr>
            </w:pPr>
            <w:r>
              <w:rPr>
                <w:b/>
                <w:bCs/>
                <w:color w:val="000000"/>
                <w:lang w:val="en-US" w:eastAsia="cs-CZ"/>
              </w:rPr>
              <w:t>C 70.00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lang w:val="en-US" w:eastAsia="cs-CZ"/>
              </w:rPr>
            </w:pPr>
            <w:r>
              <w:rPr>
                <w:b/>
                <w:bCs/>
                <w:color w:val="000000"/>
                <w:lang w:val="en-US" w:eastAsia="cs-CZ"/>
              </w:rPr>
              <w:t>C 71.00</w:t>
            </w:r>
          </w:p>
        </w:tc>
      </w:tr>
      <w:tr w:rsidR="00050DCB" w:rsidTr="00B62B90">
        <w:trPr>
          <w:trHeight w:val="26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  <w:t>Large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</w:tr>
      <w:tr w:rsidR="00050DCB" w:rsidTr="00B62B90">
        <w:trPr>
          <w:trHeight w:val="26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  <w:t>Medium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FF0000"/>
                <w:sz w:val="20"/>
                <w:szCs w:val="20"/>
                <w:lang w:val="en-US" w:eastAsia="cs-CZ"/>
              </w:rPr>
            </w:pPr>
            <w:r>
              <w:rPr>
                <w:color w:val="FF0000"/>
                <w:sz w:val="20"/>
                <w:szCs w:val="20"/>
                <w:lang w:val="en-US" w:eastAsia="cs-CZ"/>
              </w:rPr>
              <w:t>Exempted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Monthly</w:t>
            </w:r>
          </w:p>
        </w:tc>
      </w:tr>
      <w:tr w:rsidR="00050DCB" w:rsidTr="00B62B90">
        <w:trPr>
          <w:trHeight w:val="26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cs-CZ"/>
              </w:rPr>
              <w:t>SNCIs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Quarterly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Quarterly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FF0000"/>
                <w:sz w:val="20"/>
                <w:szCs w:val="20"/>
                <w:lang w:val="en-US" w:eastAsia="cs-CZ"/>
              </w:rPr>
            </w:pPr>
            <w:r>
              <w:rPr>
                <w:color w:val="FF0000"/>
                <w:sz w:val="20"/>
                <w:szCs w:val="20"/>
                <w:lang w:val="en-US" w:eastAsia="cs-CZ"/>
              </w:rPr>
              <w:t>Exempted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FF0000"/>
                <w:sz w:val="20"/>
                <w:szCs w:val="20"/>
                <w:lang w:val="en-US" w:eastAsia="cs-CZ"/>
              </w:rPr>
            </w:pPr>
            <w:r>
              <w:rPr>
                <w:color w:val="FF0000"/>
                <w:sz w:val="20"/>
                <w:szCs w:val="20"/>
                <w:lang w:val="en-US" w:eastAsia="cs-CZ"/>
              </w:rPr>
              <w:t>Exempted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FF0000"/>
                <w:sz w:val="20"/>
                <w:szCs w:val="20"/>
                <w:lang w:val="en-US" w:eastAsia="cs-CZ"/>
              </w:rPr>
            </w:pPr>
            <w:r>
              <w:rPr>
                <w:color w:val="FF0000"/>
                <w:sz w:val="20"/>
                <w:szCs w:val="20"/>
                <w:lang w:val="en-US" w:eastAsia="cs-CZ"/>
              </w:rPr>
              <w:t>Exempted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0DCB" w:rsidRDefault="00050DCB" w:rsidP="00B62B90">
            <w:pPr>
              <w:rPr>
                <w:color w:val="000000"/>
                <w:sz w:val="20"/>
                <w:szCs w:val="20"/>
                <w:lang w:val="en-US" w:eastAsia="cs-CZ"/>
              </w:rPr>
            </w:pPr>
            <w:r>
              <w:rPr>
                <w:color w:val="000000"/>
                <w:sz w:val="20"/>
                <w:szCs w:val="20"/>
                <w:lang w:val="en-US" w:eastAsia="cs-CZ"/>
              </w:rPr>
              <w:t>Quarterly</w:t>
            </w:r>
          </w:p>
        </w:tc>
      </w:tr>
    </w:tbl>
    <w:p w:rsidR="00050DCB" w:rsidRPr="00ED7212" w:rsidRDefault="00050DCB" w:rsidP="00050DCB">
      <w:pPr>
        <w:jc w:val="both"/>
        <w:rPr>
          <w:rFonts w:ascii="Calibri" w:hAnsi="Calibri" w:cs="Calibri"/>
          <w:i/>
          <w:iCs/>
        </w:rPr>
      </w:pPr>
      <w:r>
        <w:rPr>
          <w:i/>
          <w:iCs/>
        </w:rPr>
        <w:t>Pozn.: Medium instituce, nespadají do klasifikace SNCI nebo Velké instituce, jak jsou definovány v CRR2 (čl. 4, bod 146)</w:t>
      </w:r>
    </w:p>
    <w:p w:rsidR="00050DCB" w:rsidRDefault="00050DCB" w:rsidP="00050DCB">
      <w:pPr>
        <w:spacing w:after="0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  <w:r w:rsidRPr="00ED7212">
        <w:rPr>
          <w:rFonts w:ascii="Arial" w:hAnsi="Arial" w:cs="Arial"/>
          <w:color w:val="538135" w:themeColor="accent6" w:themeShade="BF"/>
          <w:sz w:val="23"/>
          <w:szCs w:val="23"/>
        </w:rPr>
        <w:lastRenderedPageBreak/>
        <w:t>Úpravy šablony C 66.01 se následně týkají odlišení položek s otevřenou splatností od položek se smluvní splatností (samostatný sloupec), upraveno je vykazování odtoků uvnitř skupiny nebo v rámci institucionálního systému ochrany. V rámci šablony C 68.00 (koncentrace financování podle druhu produktu) se ruší limit 1% celkového objemu závazků, v šabloně C 69.00 je doplněna položka Ostatní financování.</w:t>
      </w:r>
    </w:p>
    <w:p w:rsidR="00050DCB" w:rsidRPr="00ED7212" w:rsidRDefault="00050DCB" w:rsidP="00050DCB">
      <w:pPr>
        <w:spacing w:after="0"/>
        <w:jc w:val="both"/>
        <w:rPr>
          <w:rFonts w:ascii="Arial" w:hAnsi="Arial" w:cs="Arial"/>
          <w:color w:val="538135" w:themeColor="accent6" w:themeShade="BF"/>
          <w:sz w:val="23"/>
          <w:szCs w:val="23"/>
        </w:rPr>
      </w:pPr>
    </w:p>
    <w:p w:rsidR="00454306" w:rsidRDefault="00454306" w:rsidP="00050DCB">
      <w:pPr>
        <w:spacing w:after="0"/>
        <w:jc w:val="both"/>
        <w:rPr>
          <w:rFonts w:ascii="Arial" w:hAnsi="Arial" w:cs="Arial"/>
          <w:b/>
          <w:color w:val="538135" w:themeColor="accent6" w:themeShade="BF"/>
          <w:sz w:val="23"/>
          <w:szCs w:val="23"/>
        </w:rPr>
      </w:pPr>
    </w:p>
    <w:p w:rsidR="00050DCB" w:rsidRDefault="00050DCB" w:rsidP="00050DCB">
      <w:pPr>
        <w:spacing w:after="0"/>
        <w:jc w:val="both"/>
        <w:rPr>
          <w:color w:val="1F497D"/>
        </w:rPr>
      </w:pPr>
      <w:r w:rsidRPr="00ED7212">
        <w:rPr>
          <w:rFonts w:ascii="Arial" w:hAnsi="Arial" w:cs="Arial"/>
          <w:b/>
          <w:color w:val="538135" w:themeColor="accent6" w:themeShade="BF"/>
          <w:sz w:val="23"/>
          <w:szCs w:val="23"/>
        </w:rPr>
        <w:t xml:space="preserve">Návrh prováděcího nařízení komise (ITS) ze dne 20. prosince 2021, kterým se mění prováděcí nařízení (EU) č. 2021/451, pokud jde o COREP, AE, ALMM a G-SII reporting, včetně </w:t>
      </w:r>
      <w:proofErr w:type="spellStart"/>
      <w:r w:rsidRPr="00ED7212">
        <w:rPr>
          <w:rFonts w:ascii="Arial" w:hAnsi="Arial" w:cs="Arial"/>
          <w:b/>
          <w:color w:val="538135" w:themeColor="accent6" w:themeShade="BF"/>
          <w:sz w:val="23"/>
          <w:szCs w:val="23"/>
        </w:rPr>
        <w:t>excelu</w:t>
      </w:r>
      <w:proofErr w:type="spellEnd"/>
      <w:r w:rsidRPr="00ED7212">
        <w:rPr>
          <w:rFonts w:ascii="Arial" w:hAnsi="Arial" w:cs="Arial"/>
          <w:b/>
          <w:color w:val="538135" w:themeColor="accent6" w:themeShade="BF"/>
          <w:sz w:val="23"/>
          <w:szCs w:val="23"/>
        </w:rPr>
        <w:t xml:space="preserve"> s vyznačením změn </w:t>
      </w:r>
      <w:r w:rsidRPr="00ED7212">
        <w:rPr>
          <w:rFonts w:ascii="Arial" w:hAnsi="Arial" w:cs="Arial"/>
          <w:b/>
          <w:i/>
          <w:color w:val="538135" w:themeColor="accent6" w:themeShade="BF"/>
          <w:sz w:val="23"/>
          <w:szCs w:val="23"/>
        </w:rPr>
        <w:t>(</w:t>
      </w:r>
      <w:proofErr w:type="spellStart"/>
      <w:r w:rsidRPr="00ED7212">
        <w:rPr>
          <w:rFonts w:ascii="Arial" w:hAnsi="Arial" w:cs="Arial"/>
          <w:b/>
          <w:i/>
          <w:color w:val="538135" w:themeColor="accent6" w:themeShade="BF"/>
          <w:sz w:val="23"/>
          <w:szCs w:val="23"/>
        </w:rPr>
        <w:t>Annex</w:t>
      </w:r>
      <w:proofErr w:type="spellEnd"/>
      <w:r w:rsidRPr="00ED7212">
        <w:rPr>
          <w:rFonts w:ascii="Arial" w:hAnsi="Arial" w:cs="Arial"/>
          <w:b/>
          <w:i/>
          <w:color w:val="538135" w:themeColor="accent6" w:themeShade="BF"/>
          <w:sz w:val="23"/>
          <w:szCs w:val="23"/>
        </w:rPr>
        <w:t xml:space="preserve"> in track </w:t>
      </w:r>
      <w:proofErr w:type="spellStart"/>
      <w:r w:rsidRPr="00ED7212">
        <w:rPr>
          <w:rFonts w:ascii="Arial" w:hAnsi="Arial" w:cs="Arial"/>
          <w:b/>
          <w:i/>
          <w:color w:val="538135" w:themeColor="accent6" w:themeShade="BF"/>
          <w:sz w:val="23"/>
          <w:szCs w:val="23"/>
        </w:rPr>
        <w:t>changes</w:t>
      </w:r>
      <w:proofErr w:type="spellEnd"/>
      <w:r w:rsidRPr="00ED7212">
        <w:rPr>
          <w:rFonts w:ascii="Arial" w:hAnsi="Arial" w:cs="Arial"/>
          <w:b/>
          <w:color w:val="538135" w:themeColor="accent6" w:themeShade="BF"/>
          <w:sz w:val="23"/>
          <w:szCs w:val="23"/>
        </w:rPr>
        <w:t>),  byl zveřejněn na webové stránce EBA</w:t>
      </w:r>
      <w:r>
        <w:rPr>
          <w:color w:val="1F497D"/>
        </w:rPr>
        <w:t xml:space="preserve"> (</w:t>
      </w:r>
      <w:hyperlink r:id="rId4" w:anchor="pane-new-7bdd87fb-e02f-492a-99d6-129449e3cf9d" w:history="1">
        <w:r>
          <w:rPr>
            <w:rStyle w:val="Hypertextovodkaz"/>
          </w:rPr>
          <w:t>zde</w:t>
        </w:r>
      </w:hyperlink>
      <w:r>
        <w:t>).</w:t>
      </w:r>
    </w:p>
    <w:p w:rsidR="00A45D8B" w:rsidRDefault="00A45D8B"/>
    <w:sectPr w:rsidR="00A4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CB"/>
    <w:rsid w:val="00050DCB"/>
    <w:rsid w:val="00454306"/>
    <w:rsid w:val="00A45D8B"/>
    <w:rsid w:val="00C770F0"/>
    <w:rsid w:val="00D4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ADDC8-281A-4CA5-A1CD-0527AA92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D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0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ba.europa.eu/regulation-and-policy/supervisory-reporting/implementing-technical-standards-supervisory-reporting-amendments-regards-corep-asset-encumbran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Mrlíková Miroslava</dc:creator>
  <cp:keywords/>
  <dc:description/>
  <cp:lastModifiedBy>Diviš Jan</cp:lastModifiedBy>
  <cp:revision>2</cp:revision>
  <dcterms:created xsi:type="dcterms:W3CDTF">2022-10-19T12:35:00Z</dcterms:created>
  <dcterms:modified xsi:type="dcterms:W3CDTF">2022-10-19T12:35:00Z</dcterms:modified>
</cp:coreProperties>
</file>