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B6A33" w14:textId="77777777" w:rsidR="00A30BF0" w:rsidRDefault="00A30BF0"/>
    <w:p w14:paraId="133F48E9" w14:textId="4C160856" w:rsidR="00D64EEF" w:rsidRDefault="00D64EEF" w:rsidP="00494DA8">
      <w:pPr>
        <w:pStyle w:val="Nadpis2"/>
        <w:numPr>
          <w:ilvl w:val="0"/>
          <w:numId w:val="0"/>
        </w:numPr>
      </w:pPr>
      <w:r w:rsidRPr="00D64EEF">
        <w:t>Popis změn metodiky</w:t>
      </w:r>
    </w:p>
    <w:p w14:paraId="3853881A" w14:textId="188A2802" w:rsidR="00D64EEF" w:rsidRPr="00494DA8" w:rsidRDefault="00D64EEF" w:rsidP="00494DA8">
      <w:pPr>
        <w:rPr>
          <w:sz w:val="24"/>
          <w:szCs w:val="24"/>
        </w:rPr>
      </w:pPr>
      <w:r w:rsidRPr="00494DA8">
        <w:rPr>
          <w:b/>
          <w:bCs/>
          <w:sz w:val="24"/>
          <w:szCs w:val="24"/>
        </w:rPr>
        <w:t>Datové oblasti</w:t>
      </w:r>
    </w:p>
    <w:p w14:paraId="7A93838E" w14:textId="263710EA" w:rsidR="007C4F07" w:rsidRDefault="007C4F07" w:rsidP="007C4F07">
      <w:pPr>
        <w:spacing w:before="60"/>
        <w:jc w:val="left"/>
      </w:pPr>
      <w:r>
        <w:t>Ve výkazu TRAFIM30 dojde k doplnění nových údajů pro ukončení</w:t>
      </w:r>
      <w:r w:rsidR="00AA702F">
        <w:t xml:space="preserve"> platnosti</w:t>
      </w:r>
      <w:r>
        <w:t xml:space="preserve"> pokynu do hlavní transakční datové oblasti TRAF30_11 a zavedení nové </w:t>
      </w:r>
      <w:r w:rsidRPr="005055DE">
        <w:t>rušící datov</w:t>
      </w:r>
      <w:r>
        <w:t>é</w:t>
      </w:r>
      <w:r w:rsidRPr="005055DE">
        <w:t xml:space="preserve"> oblast</w:t>
      </w:r>
      <w:r>
        <w:t xml:space="preserve">i </w:t>
      </w:r>
      <w:r w:rsidRPr="005055DE">
        <w:t>TRAF30_</w:t>
      </w:r>
      <w:r>
        <w:t>5</w:t>
      </w:r>
      <w:r w:rsidRPr="005055DE">
        <w:t xml:space="preserve">1 </w:t>
      </w:r>
      <w:r>
        <w:t>pro technické zrušení pokynu</w:t>
      </w:r>
      <w:r w:rsidRPr="005055DE">
        <w:t>.</w:t>
      </w:r>
      <w:r>
        <w:t xml:space="preserve"> Podrobnější popis úprav jednotlivých datových oblastí, kterých se bude </w:t>
      </w:r>
      <w:r w:rsidR="00C635BA">
        <w:t>změna</w:t>
      </w:r>
      <w:r>
        <w:t xml:space="preserve"> týkat, naleznete níže. </w:t>
      </w:r>
      <w:bookmarkStart w:id="0" w:name="_GoBack"/>
      <w:bookmarkEnd w:id="0"/>
    </w:p>
    <w:p w14:paraId="082ACC23" w14:textId="77777777" w:rsidR="00E2592C" w:rsidRDefault="00E2592C" w:rsidP="00E2592C">
      <w:pPr>
        <w:rPr>
          <w:b/>
          <w:bCs/>
        </w:rPr>
      </w:pPr>
      <w:r>
        <w:rPr>
          <w:b/>
          <w:bCs/>
        </w:rPr>
        <w:t>Datová oblast TRAF30_11</w:t>
      </w:r>
    </w:p>
    <w:p w14:paraId="6CE5FD67" w14:textId="77777777" w:rsidR="00E2592C" w:rsidRDefault="00E2592C" w:rsidP="00E2592C">
      <w:r>
        <w:t>Bude vytvořena nová verze</w:t>
      </w:r>
      <w:r w:rsidRPr="00432E4F">
        <w:t xml:space="preserve"> datové </w:t>
      </w:r>
      <w:r>
        <w:t>oblasti TRAF30_11, do které budou přidány nové ukazatele pro ukončení pokynu</w:t>
      </w:r>
      <w:r w:rsidR="00B05179">
        <w:t>:</w:t>
      </w:r>
    </w:p>
    <w:p w14:paraId="4E375C71" w14:textId="174F2E26" w:rsidR="00E2592C" w:rsidRPr="00432E4F" w:rsidRDefault="00E2592C" w:rsidP="00E2592C">
      <w:pPr>
        <w:jc w:val="left"/>
      </w:pPr>
      <w:r w:rsidRPr="00247622">
        <w:t>FIM0xxx – Důvod ukončení platnosti pokynu</w:t>
      </w:r>
      <w:r w:rsidRPr="00247622">
        <w:br/>
        <w:t>FIM0xxx – Přijetí ukončení platnosti pokynu – datum</w:t>
      </w:r>
      <w:r w:rsidRPr="00247622">
        <w:br/>
        <w:t>FIM0xxx – Přijetí ukončení platnosti pokynu – čas</w:t>
      </w:r>
      <w:r w:rsidRPr="00247622">
        <w:br/>
        <w:t>FIM0xxx – Předání ukončení platnosti pokynu – datum</w:t>
      </w:r>
      <w:r w:rsidRPr="00247622">
        <w:br/>
        <w:t>FIM0xxx – Předání ukončení platnosti pokynu – čas</w:t>
      </w:r>
    </w:p>
    <w:p w14:paraId="3CE236FD" w14:textId="77777777" w:rsidR="00E2592C" w:rsidRDefault="00E2592C" w:rsidP="00E2592C">
      <w:pPr>
        <w:keepNext/>
        <w:rPr>
          <w:b/>
          <w:bCs/>
        </w:rPr>
      </w:pPr>
      <w:r>
        <w:rPr>
          <w:b/>
          <w:bCs/>
        </w:rPr>
        <w:t>Datová oblast TRAF30_21</w:t>
      </w:r>
    </w:p>
    <w:p w14:paraId="4D645CE1" w14:textId="77777777" w:rsidR="00E2592C" w:rsidRDefault="00E2592C" w:rsidP="00E2592C">
      <w:pPr>
        <w:rPr>
          <w:b/>
          <w:bCs/>
        </w:rPr>
      </w:pPr>
      <w:r>
        <w:t>Datová oblast TRAF30_21 bude ukončena k 31.</w:t>
      </w:r>
      <w:r w:rsidR="008F3E57">
        <w:t xml:space="preserve"> </w:t>
      </w:r>
      <w:r>
        <w:t>12.</w:t>
      </w:r>
      <w:r w:rsidR="008F3E57">
        <w:t xml:space="preserve"> </w:t>
      </w:r>
      <w:r>
        <w:t>2023 a nadále se nebude používat.</w:t>
      </w:r>
    </w:p>
    <w:p w14:paraId="1E4BFCD5" w14:textId="77777777" w:rsidR="00E2592C" w:rsidRDefault="00E2592C" w:rsidP="00E2592C">
      <w:pPr>
        <w:rPr>
          <w:b/>
          <w:bCs/>
        </w:rPr>
      </w:pPr>
      <w:r>
        <w:rPr>
          <w:b/>
          <w:bCs/>
        </w:rPr>
        <w:t>Datová oblast TRAF30_51</w:t>
      </w:r>
    </w:p>
    <w:p w14:paraId="642F29BB" w14:textId="77777777" w:rsidR="00E2592C" w:rsidRDefault="00E2592C" w:rsidP="00E2592C">
      <w:r>
        <w:t>Nová rušící datová oblast TRAF30_51 bude vytvořena v metodice MKT20240101.</w:t>
      </w:r>
    </w:p>
    <w:p w14:paraId="0060C72D" w14:textId="77777777" w:rsidR="00E2592C" w:rsidRDefault="00E2592C" w:rsidP="00E2592C"/>
    <w:p w14:paraId="1BC5AD77" w14:textId="77777777" w:rsidR="00E2592C" w:rsidRPr="00494DA8" w:rsidRDefault="00E2592C" w:rsidP="00494DA8">
      <w:pPr>
        <w:rPr>
          <w:b/>
          <w:bCs/>
          <w:sz w:val="24"/>
          <w:szCs w:val="24"/>
        </w:rPr>
      </w:pPr>
      <w:r w:rsidRPr="00494DA8">
        <w:rPr>
          <w:b/>
          <w:bCs/>
          <w:sz w:val="24"/>
          <w:szCs w:val="24"/>
        </w:rPr>
        <w:t>Kontroly</w:t>
      </w:r>
    </w:p>
    <w:p w14:paraId="5287D857" w14:textId="390C83E8" w:rsidR="00E2592C" w:rsidRDefault="00E2592C" w:rsidP="00E2592C">
      <w:pPr>
        <w:rPr>
          <w:b/>
          <w:bCs/>
        </w:rPr>
      </w:pPr>
      <w:r>
        <w:t>Stávající kontroly týkající se datové oblasti TRAF30_21 budou od metodiky MKT20240101 změněny na kontroly nad datovou oblastí TRAF30_11.</w:t>
      </w:r>
      <w:r w:rsidR="008F3E57">
        <w:t xml:space="preserve"> O seznamu upravených kontrol budeme informovat obvyklým způsobem.</w:t>
      </w:r>
    </w:p>
    <w:p w14:paraId="32309009" w14:textId="77777777" w:rsidR="00E2592C" w:rsidRDefault="00E2592C" w:rsidP="00E2592C"/>
    <w:p w14:paraId="2E7EBDBC" w14:textId="09F78210" w:rsidR="00D64EEF" w:rsidRPr="00494DA8" w:rsidRDefault="007E1EA3" w:rsidP="00E2592C">
      <w:pPr>
        <w:rPr>
          <w:rFonts w:cs="Arial"/>
          <w:b/>
          <w:bCs/>
          <w:iCs/>
          <w:color w:val="0095CD"/>
          <w:sz w:val="28"/>
        </w:rPr>
      </w:pPr>
      <w:r>
        <w:rPr>
          <w:rFonts w:cs="Arial"/>
          <w:b/>
          <w:bCs/>
          <w:iCs/>
          <w:color w:val="0095CD"/>
          <w:sz w:val="28"/>
        </w:rPr>
        <w:t>Způsob vykazování ukončení platnosti a technického zrušení pokynu od 1.</w:t>
      </w:r>
      <w:r w:rsidR="001E7D36">
        <w:rPr>
          <w:rFonts w:cs="Arial"/>
          <w:b/>
          <w:bCs/>
          <w:iCs/>
          <w:color w:val="0095CD"/>
          <w:sz w:val="28"/>
        </w:rPr>
        <w:t xml:space="preserve"> </w:t>
      </w:r>
      <w:r>
        <w:rPr>
          <w:rFonts w:cs="Arial"/>
          <w:b/>
          <w:bCs/>
          <w:iCs/>
          <w:color w:val="0095CD"/>
          <w:sz w:val="28"/>
        </w:rPr>
        <w:t>1.</w:t>
      </w:r>
      <w:r w:rsidR="001E7D36">
        <w:rPr>
          <w:rFonts w:cs="Arial"/>
          <w:b/>
          <w:bCs/>
          <w:iCs/>
          <w:color w:val="0095CD"/>
          <w:sz w:val="28"/>
        </w:rPr>
        <w:t xml:space="preserve"> </w:t>
      </w:r>
      <w:r>
        <w:rPr>
          <w:rFonts w:cs="Arial"/>
          <w:b/>
          <w:bCs/>
          <w:iCs/>
          <w:color w:val="0095CD"/>
          <w:sz w:val="28"/>
        </w:rPr>
        <w:t>2024</w:t>
      </w:r>
    </w:p>
    <w:p w14:paraId="0C127C85" w14:textId="7BF167FF" w:rsidR="00C635BA" w:rsidRDefault="007E1EA3" w:rsidP="00E2592C">
      <w:pPr>
        <w:rPr>
          <w:b/>
          <w:bCs/>
        </w:rPr>
      </w:pPr>
      <w:r>
        <w:rPr>
          <w:b/>
          <w:bCs/>
        </w:rPr>
        <w:t>U</w:t>
      </w:r>
      <w:r w:rsidR="00C635BA" w:rsidRPr="00C635BA">
        <w:rPr>
          <w:b/>
          <w:bCs/>
        </w:rPr>
        <w:t xml:space="preserve">končení platnosti pokynu </w:t>
      </w:r>
    </w:p>
    <w:p w14:paraId="3C3FA63A" w14:textId="3F0AF4A8" w:rsidR="00C635BA" w:rsidRDefault="00C635BA" w:rsidP="00E2592C">
      <w:r w:rsidRPr="00C635BA">
        <w:rPr>
          <w:bCs/>
        </w:rPr>
        <w:t>V</w:t>
      </w:r>
      <w:r w:rsidR="000A4C0A">
        <w:rPr>
          <w:bCs/>
        </w:rPr>
        <w:t> případě potřeby nahlásit</w:t>
      </w:r>
      <w:r>
        <w:rPr>
          <w:bCs/>
        </w:rPr>
        <w:t xml:space="preserve"> ukončení </w:t>
      </w:r>
      <w:r w:rsidR="000A4C0A">
        <w:rPr>
          <w:bCs/>
        </w:rPr>
        <w:t xml:space="preserve">platnosti </w:t>
      </w:r>
      <w:r>
        <w:rPr>
          <w:bCs/>
        </w:rPr>
        <w:t xml:space="preserve">pokynu </w:t>
      </w:r>
      <w:r w:rsidR="00023828">
        <w:rPr>
          <w:bCs/>
        </w:rPr>
        <w:t xml:space="preserve">(do 31. 12. 2023 </w:t>
      </w:r>
      <w:r>
        <w:t xml:space="preserve">FIM0287 </w:t>
      </w:r>
      <w:r w:rsidR="00D609B8">
        <w:rPr>
          <w:rFonts w:ascii="Calibri" w:hAnsi="Calibri" w:cs="Calibri"/>
        </w:rPr>
        <w:t>&lt;&gt;</w:t>
      </w:r>
      <w:r w:rsidR="00B05179">
        <w:t>“</w:t>
      </w:r>
      <w:r>
        <w:t>T</w:t>
      </w:r>
      <w:r w:rsidR="00B05179">
        <w:t>“</w:t>
      </w:r>
      <w:r w:rsidR="00023828">
        <w:t>)</w:t>
      </w:r>
      <w:r>
        <w:t xml:space="preserve"> zašle</w:t>
      </w:r>
      <w:r w:rsidR="000A4C0A">
        <w:t xml:space="preserve"> vykazující osoba</w:t>
      </w:r>
      <w:r>
        <w:t xml:space="preserve"> do datové oblasti TRAF30_11 kompletní informaci o pokynu včetně </w:t>
      </w:r>
      <w:r w:rsidR="000A4C0A">
        <w:t xml:space="preserve">uvedení informací do </w:t>
      </w:r>
      <w:r>
        <w:t>nových doplněných sloupců</w:t>
      </w:r>
      <w:r w:rsidR="000A4C0A">
        <w:t xml:space="preserve"> této datové oblasti</w:t>
      </w:r>
      <w:r>
        <w:t>. V poli</w:t>
      </w:r>
      <w:r w:rsidR="000A4C0A">
        <w:t xml:space="preserve"> </w:t>
      </w:r>
      <w:r w:rsidR="000A4C0A" w:rsidRPr="000A4C0A">
        <w:t>T0024</w:t>
      </w:r>
      <w:r w:rsidR="000A4C0A">
        <w:t xml:space="preserve"> </w:t>
      </w:r>
      <w:r w:rsidR="000A4C0A" w:rsidRPr="000A4C0A">
        <w:t>-</w:t>
      </w:r>
      <w:r w:rsidR="000A4C0A">
        <w:t xml:space="preserve"> </w:t>
      </w:r>
      <w:r w:rsidR="000A4C0A" w:rsidRPr="000A4C0A">
        <w:t>Transakční akce</w:t>
      </w:r>
      <w:r w:rsidR="000A4C0A">
        <w:t xml:space="preserve"> bude uvedena hodnota </w:t>
      </w:r>
      <w:r w:rsidR="00B05179">
        <w:t>“</w:t>
      </w:r>
      <w:r w:rsidR="000A4C0A">
        <w:t>AMND</w:t>
      </w:r>
      <w:r w:rsidR="00B05179">
        <w:t>“</w:t>
      </w:r>
      <w:r w:rsidR="000A4C0A">
        <w:t xml:space="preserve">. Pokyn tak bude nadále ve stavu platný a to z důvodu, že se </w:t>
      </w:r>
      <w:r w:rsidR="000A4C0A" w:rsidRPr="000A4C0A">
        <w:t xml:space="preserve">jedná o změnu </w:t>
      </w:r>
      <w:r w:rsidR="005D5A16">
        <w:t>pokynu</w:t>
      </w:r>
      <w:r w:rsidR="000A4C0A" w:rsidRPr="000A4C0A">
        <w:t xml:space="preserve"> s doplněním informace o ukončení pokynu.</w:t>
      </w:r>
    </w:p>
    <w:p w14:paraId="70D8C37A" w14:textId="77777777" w:rsidR="000A4C0A" w:rsidRDefault="000A4C0A" w:rsidP="00E2592C"/>
    <w:p w14:paraId="46D0194E" w14:textId="533D75BB" w:rsidR="000A4C0A" w:rsidRDefault="007E1EA3" w:rsidP="00E2592C">
      <w:pPr>
        <w:rPr>
          <w:b/>
          <w:bCs/>
        </w:rPr>
      </w:pPr>
      <w:r>
        <w:rPr>
          <w:b/>
        </w:rPr>
        <w:t>T</w:t>
      </w:r>
      <w:r w:rsidR="000A4C0A" w:rsidRPr="000A4C0A">
        <w:rPr>
          <w:b/>
        </w:rPr>
        <w:t xml:space="preserve">echnického zrušení </w:t>
      </w:r>
      <w:r w:rsidR="000A4C0A" w:rsidRPr="000A4C0A">
        <w:rPr>
          <w:b/>
          <w:bCs/>
        </w:rPr>
        <w:t>pokynu</w:t>
      </w:r>
    </w:p>
    <w:p w14:paraId="38679416" w14:textId="782D1F61" w:rsidR="000A4C0A" w:rsidRDefault="000A4C0A" w:rsidP="00E2592C">
      <w:pPr>
        <w:rPr>
          <w:bCs/>
        </w:rPr>
      </w:pPr>
      <w:r>
        <w:rPr>
          <w:bCs/>
        </w:rPr>
        <w:t xml:space="preserve">Rušící datová oblast </w:t>
      </w:r>
      <w:r w:rsidR="00236DE4">
        <w:t xml:space="preserve">TRAF30_51  </w:t>
      </w:r>
      <w:r>
        <w:rPr>
          <w:bCs/>
        </w:rPr>
        <w:t xml:space="preserve">bude využívána pouze v případě, kdy </w:t>
      </w:r>
      <w:r w:rsidRPr="000A4C0A">
        <w:rPr>
          <w:bCs/>
        </w:rPr>
        <w:t xml:space="preserve">FIM0287 </w:t>
      </w:r>
      <w:r>
        <w:rPr>
          <w:bCs/>
        </w:rPr>
        <w:t>=</w:t>
      </w:r>
      <w:r w:rsidRPr="000A4C0A">
        <w:rPr>
          <w:bCs/>
        </w:rPr>
        <w:t xml:space="preserve"> </w:t>
      </w:r>
      <w:r w:rsidR="00B05179">
        <w:rPr>
          <w:bCs/>
        </w:rPr>
        <w:t>“</w:t>
      </w:r>
      <w:r w:rsidRPr="000A4C0A">
        <w:rPr>
          <w:bCs/>
        </w:rPr>
        <w:t>T</w:t>
      </w:r>
      <w:r w:rsidR="00B05179">
        <w:rPr>
          <w:bCs/>
        </w:rPr>
        <w:t>“</w:t>
      </w:r>
      <w:r>
        <w:rPr>
          <w:bCs/>
        </w:rPr>
        <w:t>. Jde tedy o pokyn, který neměl být zaslán a vykazující osoba potřebuje provést technické zrušení zaslaného pokynu. V tomto případě bude ukončena kompletní platnost pokynu</w:t>
      </w:r>
      <w:r w:rsidR="000C1A90">
        <w:rPr>
          <w:bCs/>
        </w:rPr>
        <w:t xml:space="preserve"> </w:t>
      </w:r>
      <w:r w:rsidR="000C1A90" w:rsidRPr="000C1A90">
        <w:rPr>
          <w:bCs/>
        </w:rPr>
        <w:t>dle pravidel zasílání dat transakčních výkazů</w:t>
      </w:r>
      <w:r>
        <w:rPr>
          <w:bCs/>
        </w:rPr>
        <w:t>.</w:t>
      </w:r>
    </w:p>
    <w:p w14:paraId="7619C7DE" w14:textId="77777777" w:rsidR="00494DA8" w:rsidRPr="000A4C0A" w:rsidRDefault="00494DA8" w:rsidP="00E2592C">
      <w:pPr>
        <w:rPr>
          <w:bCs/>
        </w:rPr>
      </w:pPr>
    </w:p>
    <w:p w14:paraId="2F449F8A" w14:textId="77777777" w:rsidR="00494DA8" w:rsidRPr="00494DA8" w:rsidRDefault="00494DA8" w:rsidP="00494DA8">
      <w:pPr>
        <w:rPr>
          <w:rFonts w:cs="Arial"/>
          <w:b/>
          <w:bCs/>
          <w:iCs/>
          <w:color w:val="0095CD"/>
          <w:sz w:val="28"/>
        </w:rPr>
      </w:pPr>
      <w:r w:rsidRPr="00494DA8">
        <w:rPr>
          <w:rFonts w:cs="Arial"/>
          <w:b/>
          <w:bCs/>
          <w:iCs/>
          <w:color w:val="0095CD"/>
          <w:sz w:val="28"/>
        </w:rPr>
        <w:t>Migrace a transformace dat</w:t>
      </w:r>
    </w:p>
    <w:p w14:paraId="76A92D39" w14:textId="77777777" w:rsidR="00494DA8" w:rsidRDefault="00494DA8" w:rsidP="00494DA8">
      <w:r>
        <w:lastRenderedPageBreak/>
        <w:t>Proces zajistí ČNB v časovém souladu s náběhem sběru podle nové metodiky.</w:t>
      </w:r>
    </w:p>
    <w:p w14:paraId="5338D778" w14:textId="77777777" w:rsidR="00494DA8" w:rsidRDefault="00494DA8" w:rsidP="00494DA8">
      <w:r>
        <w:t xml:space="preserve">Záznamy datových oblastí do 31. 12. 2023 budou transformovány tak, že původně ukončené záznamy v TRAF30_21 s FIM0287 </w:t>
      </w:r>
      <w:r>
        <w:rPr>
          <w:rFonts w:ascii="Calibri" w:hAnsi="Calibri" w:cs="Calibri"/>
        </w:rPr>
        <w:t>&lt;&gt;</w:t>
      </w:r>
      <w:r>
        <w:t xml:space="preserve"> “T“ budou upraveny na platné a to i v hlavní datové oblasti TRAF30_11. V ostatních doplňkových oblastech dojde k synchronizaci stavů s hodnotami odpovídajících záznamům v hlavní datové oblasti TRAF30_11. </w:t>
      </w:r>
    </w:p>
    <w:p w14:paraId="46AF08DC" w14:textId="77777777" w:rsidR="00494DA8" w:rsidRPr="00E73A4B" w:rsidRDefault="00494DA8" w:rsidP="00494DA8">
      <w:r>
        <w:t>Záznamy z tabulky TRAF30_21 s FIM0287 = “T“ budou migrovány a transformovány do datové oblasti TRAF30_51.</w:t>
      </w:r>
    </w:p>
    <w:p w14:paraId="78A8E628" w14:textId="712BDFA5" w:rsidR="00C635BA" w:rsidRDefault="00C635BA" w:rsidP="00E2592C"/>
    <w:p w14:paraId="3B2FAE75" w14:textId="77777777" w:rsidR="00494DA8" w:rsidRPr="009062BB" w:rsidRDefault="00494DA8" w:rsidP="00E2592C"/>
    <w:p w14:paraId="708290E6" w14:textId="2E3C1963" w:rsidR="000A0AE2" w:rsidRPr="00494DA8" w:rsidRDefault="000A0AE2" w:rsidP="00494DA8">
      <w:pPr>
        <w:rPr>
          <w:rFonts w:cs="Arial"/>
          <w:b/>
          <w:bCs/>
          <w:iCs/>
          <w:color w:val="0095CD"/>
          <w:sz w:val="28"/>
        </w:rPr>
      </w:pPr>
      <w:r w:rsidRPr="00494DA8">
        <w:rPr>
          <w:rFonts w:cs="Arial"/>
          <w:b/>
          <w:bCs/>
          <w:iCs/>
          <w:color w:val="0095CD"/>
          <w:sz w:val="28"/>
        </w:rPr>
        <w:t>Časování přechodu na novou metodiku</w:t>
      </w:r>
    </w:p>
    <w:p w14:paraId="02928864" w14:textId="77553816" w:rsidR="00E2592C" w:rsidRPr="00C635BA" w:rsidRDefault="00320EFD" w:rsidP="00E2592C">
      <w:pPr>
        <w:keepNext/>
      </w:pPr>
      <w:r w:rsidRPr="00C635BA">
        <w:rPr>
          <w:bCs/>
        </w:rPr>
        <w:t>O detailech p</w:t>
      </w:r>
      <w:r w:rsidR="00E2592C" w:rsidRPr="00C635BA">
        <w:rPr>
          <w:bCs/>
        </w:rPr>
        <w:t>řechod</w:t>
      </w:r>
      <w:r w:rsidRPr="00C635BA">
        <w:rPr>
          <w:bCs/>
        </w:rPr>
        <w:t>u</w:t>
      </w:r>
      <w:r w:rsidR="00E2592C" w:rsidRPr="00C635BA">
        <w:rPr>
          <w:bCs/>
        </w:rPr>
        <w:t xml:space="preserve"> na metodiku MKT20240101</w:t>
      </w:r>
      <w:r w:rsidR="00A905A9" w:rsidRPr="00C635BA">
        <w:rPr>
          <w:bCs/>
        </w:rPr>
        <w:t xml:space="preserve">, která bude zahrnovat i časový harmonogram </w:t>
      </w:r>
      <w:r w:rsidR="007C4F07" w:rsidRPr="00C635BA">
        <w:rPr>
          <w:bCs/>
        </w:rPr>
        <w:t xml:space="preserve">provedení </w:t>
      </w:r>
      <w:r w:rsidR="00A905A9" w:rsidRPr="00C635BA">
        <w:rPr>
          <w:bCs/>
        </w:rPr>
        <w:t>migrace</w:t>
      </w:r>
      <w:r w:rsidR="007C4F07" w:rsidRPr="00C635BA">
        <w:rPr>
          <w:bCs/>
        </w:rPr>
        <w:t xml:space="preserve"> a nutné transformace dat po dnech</w:t>
      </w:r>
      <w:r w:rsidR="00A905A9" w:rsidRPr="00C635BA">
        <w:rPr>
          <w:bCs/>
        </w:rPr>
        <w:t>,</w:t>
      </w:r>
      <w:r w:rsidRPr="00C635BA">
        <w:rPr>
          <w:bCs/>
        </w:rPr>
        <w:t xml:space="preserve"> budeme informovat podrobněji později.</w:t>
      </w:r>
      <w:r w:rsidR="000A0AE2">
        <w:rPr>
          <w:bCs/>
        </w:rPr>
        <w:t xml:space="preserve"> </w:t>
      </w:r>
      <w:r w:rsidR="000A0AE2" w:rsidRPr="000A0AE2">
        <w:rPr>
          <w:bCs/>
        </w:rPr>
        <w:t>Z důvodu nutnosti provedení migrace a transformace dat, není vyloučena jednodenní odstávka příjmu výkazu TRAFIM30 nebo celé sady výkazů.</w:t>
      </w:r>
    </w:p>
    <w:p w14:paraId="4A87218B" w14:textId="77777777" w:rsidR="00E2592C" w:rsidRDefault="00E2592C" w:rsidP="00E2592C"/>
    <w:p w14:paraId="3D1EBAB3" w14:textId="77777777" w:rsidR="00E2592C" w:rsidRDefault="007C4F07">
      <w:r>
        <w:t xml:space="preserve">V případě dotazů nás prosím kontaktujte na mailové adrese </w:t>
      </w:r>
      <w:hyperlink r:id="rId5" w:history="1">
        <w:r w:rsidRPr="00C350C2">
          <w:rPr>
            <w:rStyle w:val="Hypertextovodkaz"/>
          </w:rPr>
          <w:t>kt.stat</w:t>
        </w:r>
        <w:r w:rsidRPr="00C350C2">
          <w:rPr>
            <w:rStyle w:val="Hypertextovodkaz"/>
            <w:rFonts w:cs="Arial"/>
          </w:rPr>
          <w:t>@</w:t>
        </w:r>
        <w:r w:rsidRPr="00C350C2">
          <w:rPr>
            <w:rStyle w:val="Hypertextovodkaz"/>
          </w:rPr>
          <w:t>cnb.cz</w:t>
        </w:r>
      </w:hyperlink>
      <w:r>
        <w:t xml:space="preserve"> </w:t>
      </w:r>
    </w:p>
    <w:p w14:paraId="5EED3067" w14:textId="77777777" w:rsidR="007C4F07" w:rsidRDefault="007C4F07"/>
    <w:p w14:paraId="4C66D548" w14:textId="6668FE01" w:rsidR="007C4F07" w:rsidRDefault="007C4F07"/>
    <w:sectPr w:rsidR="007C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443C"/>
    <w:multiLevelType w:val="hybridMultilevel"/>
    <w:tmpl w:val="2D34A8DC"/>
    <w:lvl w:ilvl="0" w:tplc="3BB8929E">
      <w:start w:val="1"/>
      <w:numFmt w:val="bullet"/>
      <w:pStyle w:val="Bullet1"/>
      <w:lvlText w:val="►"/>
      <w:lvlJc w:val="left"/>
      <w:pPr>
        <w:ind w:left="1352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944F6"/>
    <w:multiLevelType w:val="hybridMultilevel"/>
    <w:tmpl w:val="CAA6F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2002C"/>
    <w:multiLevelType w:val="hybridMultilevel"/>
    <w:tmpl w:val="1046C23E"/>
    <w:lvl w:ilvl="0" w:tplc="70C46C66">
      <w:numFmt w:val="bullet"/>
      <w:pStyle w:val="Bullet2"/>
      <w:lvlText w:val="•"/>
      <w:lvlJc w:val="left"/>
      <w:pPr>
        <w:ind w:left="720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D374B"/>
    <w:multiLevelType w:val="multilevel"/>
    <w:tmpl w:val="BCFA73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C"/>
    <w:rsid w:val="00023828"/>
    <w:rsid w:val="000A0AE2"/>
    <w:rsid w:val="000A4C0A"/>
    <w:rsid w:val="000C1A90"/>
    <w:rsid w:val="001E7D36"/>
    <w:rsid w:val="00236DE4"/>
    <w:rsid w:val="00320EFD"/>
    <w:rsid w:val="00494DA8"/>
    <w:rsid w:val="005D5A16"/>
    <w:rsid w:val="006E1274"/>
    <w:rsid w:val="007C4F07"/>
    <w:rsid w:val="007E1EA3"/>
    <w:rsid w:val="008F3E57"/>
    <w:rsid w:val="008F798C"/>
    <w:rsid w:val="00A30BF0"/>
    <w:rsid w:val="00A905A9"/>
    <w:rsid w:val="00AA702F"/>
    <w:rsid w:val="00B05179"/>
    <w:rsid w:val="00C635BA"/>
    <w:rsid w:val="00D609B8"/>
    <w:rsid w:val="00D64EEF"/>
    <w:rsid w:val="00E2592C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5F23"/>
  <w15:chartTrackingRefBased/>
  <w15:docId w15:val="{266BCE9C-2FAB-485D-879F-1310D299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92C"/>
    <w:pPr>
      <w:spacing w:after="120" w:line="264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592C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E2592C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E2592C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2592C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E2592C"/>
    <w:pPr>
      <w:keepNext/>
      <w:numPr>
        <w:ilvl w:val="4"/>
        <w:numId w:val="1"/>
      </w:numPr>
      <w:tabs>
        <w:tab w:val="clear" w:pos="851"/>
        <w:tab w:val="left" w:pos="1559"/>
        <w:tab w:val="left" w:pos="2268"/>
      </w:tabs>
      <w:spacing w:before="320" w:line="240" w:lineRule="auto"/>
      <w:ind w:left="1560" w:hanging="1276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E2592C"/>
    <w:pPr>
      <w:keepNext/>
      <w:numPr>
        <w:ilvl w:val="5"/>
        <w:numId w:val="1"/>
      </w:numPr>
      <w:tabs>
        <w:tab w:val="clear" w:pos="2976"/>
        <w:tab w:val="left" w:pos="1701"/>
        <w:tab w:val="left" w:pos="2410"/>
      </w:tabs>
      <w:spacing w:before="320" w:line="240" w:lineRule="auto"/>
      <w:ind w:left="1702" w:hanging="1418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E2592C"/>
    <w:pPr>
      <w:numPr>
        <w:ilvl w:val="6"/>
        <w:numId w:val="1"/>
      </w:numPr>
      <w:tabs>
        <w:tab w:val="clear" w:pos="992"/>
        <w:tab w:val="left" w:pos="1843"/>
        <w:tab w:val="left" w:pos="2693"/>
      </w:tabs>
      <w:spacing w:before="280" w:after="80" w:line="240" w:lineRule="auto"/>
      <w:ind w:left="1843" w:hanging="1559"/>
      <w:jc w:val="left"/>
      <w:outlineLvl w:val="6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592C"/>
    <w:rPr>
      <w:rFonts w:ascii="Arial" w:eastAsia="Times New Roman" w:hAnsi="Arial" w:cs="Times New Roman"/>
      <w:b/>
      <w:bCs/>
      <w:color w:val="0095CD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2592C"/>
    <w:rPr>
      <w:rFonts w:ascii="Arial" w:eastAsia="Times New Roman" w:hAnsi="Arial" w:cs="Arial"/>
      <w:b/>
      <w:bCs/>
      <w:iCs/>
      <w:color w:val="0095CD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2592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2592C"/>
    <w:rPr>
      <w:rFonts w:ascii="Arial" w:eastAsia="Times New Roman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2592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2592C"/>
    <w:rPr>
      <w:rFonts w:ascii="Arial" w:eastAsia="Times New Roman" w:hAnsi="Arial" w:cs="Times New Roman"/>
      <w:b/>
      <w:bCs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2592C"/>
    <w:rPr>
      <w:rFonts w:ascii="Arial" w:eastAsia="Times New Roman" w:hAnsi="Arial" w:cs="Times New Roman"/>
      <w:b/>
      <w:i/>
      <w:szCs w:val="20"/>
      <w:lang w:eastAsia="cs-CZ"/>
    </w:rPr>
  </w:style>
  <w:style w:type="paragraph" w:customStyle="1" w:styleId="Bullet1">
    <w:name w:val="Bullet 1"/>
    <w:basedOn w:val="Normln"/>
    <w:qFormat/>
    <w:rsid w:val="00E2592C"/>
    <w:pPr>
      <w:numPr>
        <w:numId w:val="2"/>
      </w:numPr>
      <w:tabs>
        <w:tab w:val="left" w:pos="567"/>
      </w:tabs>
      <w:spacing w:line="252" w:lineRule="auto"/>
      <w:ind w:left="584" w:hanging="357"/>
    </w:pPr>
  </w:style>
  <w:style w:type="paragraph" w:customStyle="1" w:styleId="Bullet2">
    <w:name w:val="Bullet 2"/>
    <w:basedOn w:val="Normln"/>
    <w:link w:val="Bullet2Char"/>
    <w:qFormat/>
    <w:rsid w:val="00E2592C"/>
    <w:pPr>
      <w:numPr>
        <w:numId w:val="3"/>
      </w:numPr>
      <w:tabs>
        <w:tab w:val="left" w:pos="992"/>
      </w:tabs>
      <w:spacing w:line="252" w:lineRule="auto"/>
      <w:ind w:left="924" w:hanging="357"/>
    </w:pPr>
    <w:rPr>
      <w:szCs w:val="16"/>
    </w:rPr>
  </w:style>
  <w:style w:type="character" w:customStyle="1" w:styleId="Bullet2Char">
    <w:name w:val="Bullet 2 Char"/>
    <w:link w:val="Bullet2"/>
    <w:rsid w:val="00E2592C"/>
    <w:rPr>
      <w:rFonts w:ascii="Arial" w:eastAsia="Times New Roman" w:hAnsi="Arial" w:cs="Times New Roman"/>
      <w:sz w:val="20"/>
      <w:szCs w:val="16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2592C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C4F0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51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17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17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1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17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7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.stat@cn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Schillerová Pavla</dc:creator>
  <cp:keywords/>
  <dc:description/>
  <cp:lastModifiedBy>Schillerová Pavla</cp:lastModifiedBy>
  <cp:revision>3</cp:revision>
  <cp:lastPrinted>2023-05-31T11:52:00Z</cp:lastPrinted>
  <dcterms:created xsi:type="dcterms:W3CDTF">2023-06-02T06:39:00Z</dcterms:created>
  <dcterms:modified xsi:type="dcterms:W3CDTF">2023-06-02T07:26:00Z</dcterms:modified>
</cp:coreProperties>
</file>