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D3" w:rsidRPr="005D70F9" w:rsidRDefault="005D065F" w:rsidP="00FF4519">
      <w:pPr>
        <w:pStyle w:val="CMFBTitle"/>
        <w:numPr>
          <w:ilvl w:val="0"/>
          <w:numId w:val="0"/>
        </w:numPr>
        <w:ind w:left="1134" w:hanging="567"/>
      </w:pPr>
      <w:bookmarkStart w:id="0" w:name="_Ref409731623"/>
      <w:bookmarkStart w:id="1" w:name="_Toc409783737"/>
      <w:r>
        <w:t>T</w:t>
      </w:r>
      <w:r w:rsidR="00D227A9" w:rsidRPr="005D70F9">
        <w:t xml:space="preserve">he generic template for </w:t>
      </w:r>
      <w:proofErr w:type="spellStart"/>
      <w:r w:rsidR="00D227A9" w:rsidRPr="005D70F9">
        <w:t>b.o.p</w:t>
      </w:r>
      <w:proofErr w:type="spellEnd"/>
      <w:r w:rsidR="00D227A9" w:rsidRPr="005D70F9">
        <w:t>/</w:t>
      </w:r>
      <w:proofErr w:type="spellStart"/>
      <w:r w:rsidR="00D227A9" w:rsidRPr="005D70F9">
        <w:t>i.i.p</w:t>
      </w:r>
      <w:proofErr w:type="spellEnd"/>
      <w:r w:rsidR="00D227A9" w:rsidRPr="005D70F9">
        <w:t xml:space="preserve">. statistics as provided by </w:t>
      </w:r>
      <w:r>
        <w:t>the Czech Republic</w:t>
      </w:r>
      <w:r w:rsidR="00F5261C">
        <w:t xml:space="preserve"> (</w:t>
      </w:r>
      <w:r w:rsidR="0078628F">
        <w:t xml:space="preserve">the </w:t>
      </w:r>
      <w:r w:rsidR="00F5261C">
        <w:t>Czech National Bank)</w:t>
      </w:r>
      <w:bookmarkEnd w:id="0"/>
      <w:bookmarkEnd w:id="1"/>
    </w:p>
    <w:p w:rsidR="005F75D3" w:rsidRPr="00D14E8D" w:rsidRDefault="005F75D3" w:rsidP="00D14E8D">
      <w:pPr>
        <w:pStyle w:val="Nadpis1"/>
        <w:numPr>
          <w:ilvl w:val="0"/>
          <w:numId w:val="15"/>
        </w:numPr>
      </w:pPr>
      <w:r w:rsidRPr="00D14E8D">
        <w:t>INSTITUTIONAL ENVIRONMENT</w:t>
      </w:r>
    </w:p>
    <w:p w:rsidR="005F75D3" w:rsidRPr="00FC223E" w:rsidRDefault="005F75D3" w:rsidP="00FC223E">
      <w:pPr>
        <w:pStyle w:val="Nadpis2"/>
        <w:ind w:hanging="709"/>
        <w:rPr>
          <w:b/>
        </w:rPr>
      </w:pPr>
      <w:r w:rsidRPr="00FC223E">
        <w:rPr>
          <w:b/>
        </w:rPr>
        <w:t>CoP1 Professional Independence / PC1 Professional Independence</w:t>
      </w:r>
    </w:p>
    <w:p w:rsidR="00405BFD" w:rsidRPr="00D82236" w:rsidRDefault="00900523" w:rsidP="00FC223E">
      <w:pPr>
        <w:pStyle w:val="Nadpis3"/>
        <w:ind w:left="709" w:hanging="709"/>
      </w:pPr>
      <w:r w:rsidRPr="00FC223E">
        <w:rPr>
          <w:i/>
          <w:u w:val="none"/>
        </w:rPr>
        <w:t xml:space="preserve">Legal </w:t>
      </w:r>
      <w:r>
        <w:rPr>
          <w:i/>
          <w:u w:val="none"/>
        </w:rPr>
        <w:t>b</w:t>
      </w:r>
      <w:r w:rsidRPr="00FC223E">
        <w:rPr>
          <w:i/>
          <w:u w:val="none"/>
        </w:rPr>
        <w:t>asis</w:t>
      </w:r>
    </w:p>
    <w:p w:rsidR="005F75D3" w:rsidRPr="00240265" w:rsidRDefault="005F75D3" w:rsidP="00D227A9">
      <w:pPr>
        <w:pStyle w:val="CMFBText"/>
      </w:pPr>
      <w:r w:rsidRPr="00240265">
        <w:t xml:space="preserve">Article </w:t>
      </w:r>
      <w:r w:rsidR="009D652D">
        <w:t>9</w:t>
      </w:r>
      <w:r w:rsidRPr="00240265">
        <w:t xml:space="preserve"> (Relations</w:t>
      </w:r>
      <w:r w:rsidR="009D652D">
        <w:t xml:space="preserve">hip to the government and </w:t>
      </w:r>
      <w:r w:rsidR="007E13D1">
        <w:t xml:space="preserve">to </w:t>
      </w:r>
      <w:r w:rsidR="009D652D">
        <w:t>other bodies)</w:t>
      </w:r>
      <w:r w:rsidRPr="00240265">
        <w:t xml:space="preserve"> of Act</w:t>
      </w:r>
      <w:r w:rsidR="009D652D">
        <w:t xml:space="preserve"> No. 6/1993 Coll. </w:t>
      </w:r>
      <w:r w:rsidR="00C30A01">
        <w:t>o</w:t>
      </w:r>
      <w:r w:rsidR="009D652D">
        <w:t>n the</w:t>
      </w:r>
      <w:r w:rsidR="00EA3A65">
        <w:t> </w:t>
      </w:r>
      <w:r w:rsidR="009D652D">
        <w:t>Czech National Bank</w:t>
      </w:r>
      <w:r w:rsidRPr="00240265">
        <w:t xml:space="preserve">, which is available on the </w:t>
      </w:r>
      <w:r w:rsidR="009D652D">
        <w:t xml:space="preserve">Czech National Bank </w:t>
      </w:r>
      <w:r w:rsidRPr="00240265">
        <w:t xml:space="preserve">website, establishes its independence from other government authorities </w:t>
      </w:r>
      <w:r w:rsidR="009D652D">
        <w:t xml:space="preserve">and bodies </w:t>
      </w:r>
      <w:r w:rsidRPr="00240265">
        <w:t xml:space="preserve">in exercising its powers, thereby guaranteeing, among other things, the absence of interference in respect </w:t>
      </w:r>
      <w:r w:rsidR="007E13D1">
        <w:t>of</w:t>
      </w:r>
      <w:r w:rsidRPr="00240265">
        <w:t xml:space="preserve"> the compilation and dissemination of statistical information. </w:t>
      </w:r>
    </w:p>
    <w:p w:rsidR="005F75D3" w:rsidRDefault="005F75D3" w:rsidP="0030028C">
      <w:pPr>
        <w:pStyle w:val="CMFBText"/>
        <w:rPr>
          <w:i/>
        </w:rPr>
      </w:pPr>
      <w:r w:rsidRPr="00240265">
        <w:t xml:space="preserve">The independence of the </w:t>
      </w:r>
      <w:r w:rsidR="009D652D">
        <w:t>Czech National Bank</w:t>
      </w:r>
      <w:r w:rsidR="0030028C">
        <w:t xml:space="preserve"> </w:t>
      </w:r>
      <w:r w:rsidR="007E13D1" w:rsidRPr="00240265">
        <w:t>in its capacity as a member of the ESCB</w:t>
      </w:r>
      <w:r w:rsidR="007E13D1">
        <w:t xml:space="preserve"> </w:t>
      </w:r>
      <w:r w:rsidR="0030028C">
        <w:t xml:space="preserve">is guaranteed by EU primary </w:t>
      </w:r>
      <w:r w:rsidR="007E13D1">
        <w:t>l</w:t>
      </w:r>
      <w:r w:rsidR="0030028C">
        <w:t>aw</w:t>
      </w:r>
      <w:r w:rsidRPr="00240265">
        <w:t xml:space="preserve"> </w:t>
      </w:r>
      <w:r w:rsidR="007E13D1">
        <w:t>(</w:t>
      </w:r>
      <w:r w:rsidRPr="00240265">
        <w:t>in Article 130 of the EU Treaty and Article 7 of the Statute of the ESCB and of the ECB</w:t>
      </w:r>
      <w:r w:rsidR="007E13D1">
        <w:t>)</w:t>
      </w:r>
      <w:r w:rsidR="00F5261C">
        <w:t>.</w:t>
      </w:r>
      <w:r w:rsidR="0030028C">
        <w:t xml:space="preserve"> </w:t>
      </w:r>
    </w:p>
    <w:p w:rsidR="00900523" w:rsidRPr="00A323BF" w:rsidRDefault="00900523" w:rsidP="00FC223E">
      <w:pPr>
        <w:pStyle w:val="Nadpis3"/>
        <w:ind w:left="709" w:hanging="709"/>
        <w:rPr>
          <w:i/>
          <w:u w:val="none"/>
        </w:rPr>
      </w:pPr>
      <w:r>
        <w:rPr>
          <w:i/>
          <w:u w:val="none"/>
        </w:rPr>
        <w:t>Statistics work programme</w:t>
      </w:r>
    </w:p>
    <w:p w:rsidR="005F75D3" w:rsidRDefault="005F75D3" w:rsidP="00D227A9">
      <w:pPr>
        <w:pStyle w:val="CMFBText"/>
        <w:rPr>
          <w:color w:val="0070C0"/>
        </w:rPr>
      </w:pPr>
      <w:r w:rsidRPr="00240265">
        <w:t xml:space="preserve">The </w:t>
      </w:r>
      <w:r w:rsidR="009D652D">
        <w:t>Czech National Bank</w:t>
      </w:r>
      <w:r w:rsidRPr="00240265">
        <w:t xml:space="preserve"> has a </w:t>
      </w:r>
      <w:r w:rsidR="009D652D">
        <w:t>yearly and medium term</w:t>
      </w:r>
      <w:r w:rsidR="007E13D1">
        <w:t>-</w:t>
      </w:r>
      <w:r w:rsidRPr="00240265">
        <w:t xml:space="preserve">statistical work programme that is not </w:t>
      </w:r>
      <w:r w:rsidR="009D652D">
        <w:t xml:space="preserve">available to the </w:t>
      </w:r>
      <w:r w:rsidRPr="00240265">
        <w:t>public.</w:t>
      </w:r>
      <w:r w:rsidR="00995E38">
        <w:t xml:space="preserve"> </w:t>
      </w:r>
      <w:r w:rsidR="000A0D5E" w:rsidRPr="0078628F">
        <w:t>Nevertheless, the essential statistical activit</w:t>
      </w:r>
      <w:r w:rsidR="007E13D1">
        <w:t>ies</w:t>
      </w:r>
      <w:r w:rsidR="000A0D5E" w:rsidRPr="0078628F">
        <w:t xml:space="preserve"> of the CNB </w:t>
      </w:r>
      <w:r w:rsidR="007E13D1">
        <w:t>are</w:t>
      </w:r>
      <w:r w:rsidR="000A0D5E" w:rsidRPr="0078628F">
        <w:t xml:space="preserve"> described in the CNB </w:t>
      </w:r>
      <w:r w:rsidR="007E13D1">
        <w:t>A</w:t>
      </w:r>
      <w:r w:rsidR="000A0D5E" w:rsidRPr="0078628F">
        <w:t xml:space="preserve">nnual </w:t>
      </w:r>
      <w:r w:rsidR="007E13D1">
        <w:t>R</w:t>
      </w:r>
      <w:r w:rsidR="000A0D5E" w:rsidRPr="0078628F">
        <w:t>eport in the chapter dedicated to statistics.</w:t>
      </w:r>
    </w:p>
    <w:p w:rsidR="008C2007" w:rsidRDefault="008C2007" w:rsidP="000A0D5E">
      <w:pPr>
        <w:rPr>
          <w:rFonts w:ascii="Arial" w:hAnsi="Arial" w:cs="Arial"/>
          <w:sz w:val="20"/>
          <w:szCs w:val="20"/>
        </w:rPr>
      </w:pPr>
      <w:hyperlink r:id="rId9" w:history="1">
        <w:r w:rsidRPr="002E7D9B">
          <w:rPr>
            <w:rStyle w:val="Hypertextovodkaz"/>
            <w:rFonts w:ascii="Arial" w:hAnsi="Arial" w:cs="Arial"/>
            <w:sz w:val="20"/>
            <w:szCs w:val="20"/>
          </w:rPr>
          <w:t>https://www.cnb.cz/en/about_cnb/performance/annual-reports/</w:t>
        </w:r>
      </w:hyperlink>
    </w:p>
    <w:p w:rsidR="008C2007" w:rsidRDefault="008C2007" w:rsidP="000A0D5E">
      <w:pPr>
        <w:rPr>
          <w:rFonts w:ascii="Arial" w:hAnsi="Arial" w:cs="Arial"/>
          <w:sz w:val="20"/>
          <w:szCs w:val="20"/>
        </w:rPr>
      </w:pPr>
    </w:p>
    <w:p w:rsidR="000A0D5E" w:rsidRPr="00240265" w:rsidRDefault="000A0D5E" w:rsidP="00D227A9">
      <w:pPr>
        <w:pStyle w:val="CMFBText"/>
      </w:pPr>
    </w:p>
    <w:p w:rsidR="005F75D3" w:rsidRPr="00FC223E" w:rsidRDefault="005F75D3" w:rsidP="00FC223E">
      <w:pPr>
        <w:pStyle w:val="Nadpis2"/>
        <w:ind w:hanging="709"/>
        <w:rPr>
          <w:b/>
        </w:rPr>
      </w:pPr>
      <w:r w:rsidRPr="00FC223E">
        <w:rPr>
          <w:b/>
        </w:rPr>
        <w:t>CoP2 Mandate for data collection/PC2 Mandate for data collection</w:t>
      </w:r>
    </w:p>
    <w:p w:rsidR="00900523" w:rsidRPr="00A323BF" w:rsidRDefault="002109C0" w:rsidP="00FC223E">
      <w:pPr>
        <w:pStyle w:val="Nadpis3"/>
        <w:ind w:left="709" w:hanging="709"/>
        <w:rPr>
          <w:i/>
          <w:u w:val="none"/>
        </w:rPr>
      </w:pPr>
      <w:r>
        <w:rPr>
          <w:i/>
          <w:u w:val="none"/>
        </w:rPr>
        <w:t>A</w:t>
      </w:r>
      <w:r w:rsidR="00900523">
        <w:rPr>
          <w:i/>
          <w:u w:val="none"/>
        </w:rPr>
        <w:t>llocation of responsibilities</w:t>
      </w:r>
    </w:p>
    <w:p w:rsidR="005F75D3" w:rsidRPr="00240265" w:rsidRDefault="005F75D3" w:rsidP="00D227A9">
      <w:pPr>
        <w:pStyle w:val="CMFBText"/>
      </w:pPr>
      <w:r w:rsidRPr="00240265">
        <w:t xml:space="preserve">The responsibility for collecting, processing and disseminating the </w:t>
      </w:r>
      <w:r w:rsidR="009D652D">
        <w:t>Czech</w:t>
      </w:r>
      <w:r w:rsidR="00BA6011">
        <w:t xml:space="preserve"> Republic</w:t>
      </w:r>
      <w:r w:rsidR="007E13D1">
        <w:t>’s</w:t>
      </w:r>
      <w:r w:rsidR="00BA6011">
        <w:t xml:space="preserve"> </w:t>
      </w:r>
      <w:r w:rsidRPr="00240265">
        <w:t xml:space="preserve">balance of payments statistics is assigned to the </w:t>
      </w:r>
      <w:r w:rsidR="009D652D">
        <w:t>Czech National Bank</w:t>
      </w:r>
      <w:r w:rsidRPr="00240265">
        <w:t xml:space="preserve"> by </w:t>
      </w:r>
      <w:r w:rsidR="00C30A01">
        <w:t>the</w:t>
      </w:r>
      <w:r w:rsidRPr="00240265">
        <w:t xml:space="preserve"> </w:t>
      </w:r>
      <w:r w:rsidR="00C30A01">
        <w:t>A</w:t>
      </w:r>
      <w:r w:rsidR="00F518FB">
        <w:t>ct on the Czech National Bank</w:t>
      </w:r>
      <w:r w:rsidR="00516CAF">
        <w:t>.</w:t>
      </w:r>
      <w:r w:rsidR="00F518FB">
        <w:t xml:space="preserve"> </w:t>
      </w:r>
      <w:r w:rsidR="00C853F6">
        <w:t>A</w:t>
      </w:r>
      <w:r w:rsidR="00516CAF">
        <w:t xml:space="preserve"> General A</w:t>
      </w:r>
      <w:r w:rsidRPr="00240265">
        <w:t xml:space="preserve">greement </w:t>
      </w:r>
      <w:r w:rsidR="00F518FB">
        <w:t>with the Czech Statistical</w:t>
      </w:r>
      <w:r w:rsidR="001736CB">
        <w:t xml:space="preserve"> Office</w:t>
      </w:r>
      <w:r w:rsidR="00516CAF">
        <w:t xml:space="preserve"> was signed on cooperation in </w:t>
      </w:r>
      <w:proofErr w:type="gramStart"/>
      <w:r w:rsidR="00516CAF">
        <w:t>statistics</w:t>
      </w:r>
      <w:r w:rsidR="00D77DDA">
        <w:t>,</w:t>
      </w:r>
      <w:proofErr w:type="gramEnd"/>
      <w:r w:rsidR="00516CAF">
        <w:t xml:space="preserve"> including balance of payments statistics</w:t>
      </w:r>
      <w:r w:rsidR="00E4245E">
        <w:t xml:space="preserve"> (</w:t>
      </w:r>
      <w:r w:rsidR="00644189">
        <w:t xml:space="preserve">data sharing and data exchange </w:t>
      </w:r>
      <w:r w:rsidR="00163E27">
        <w:t>are</w:t>
      </w:r>
      <w:r w:rsidR="00DF056B">
        <w:t xml:space="preserve"> </w:t>
      </w:r>
      <w:r w:rsidR="00E4245E">
        <w:t xml:space="preserve">specified in a </w:t>
      </w:r>
      <w:r w:rsidR="00541DE1">
        <w:t>P</w:t>
      </w:r>
      <w:r w:rsidR="00E4245E">
        <w:t xml:space="preserve">artial </w:t>
      </w:r>
      <w:r w:rsidR="00541DE1">
        <w:t>A</w:t>
      </w:r>
      <w:r w:rsidR="00E4245E">
        <w:t>greement)</w:t>
      </w:r>
      <w:r w:rsidR="00136852">
        <w:t>.</w:t>
      </w:r>
      <w:r w:rsidR="00F518FB">
        <w:t xml:space="preserve">  </w:t>
      </w:r>
    </w:p>
    <w:p w:rsidR="00900523" w:rsidRPr="00A323BF" w:rsidRDefault="00900523" w:rsidP="00FC223E">
      <w:pPr>
        <w:pStyle w:val="Nadpis3"/>
        <w:ind w:left="709" w:hanging="709"/>
        <w:rPr>
          <w:i/>
          <w:u w:val="none"/>
        </w:rPr>
      </w:pPr>
      <w:r>
        <w:rPr>
          <w:i/>
          <w:u w:val="none"/>
        </w:rPr>
        <w:lastRenderedPageBreak/>
        <w:t>Legal basis</w:t>
      </w:r>
    </w:p>
    <w:p w:rsidR="00900523" w:rsidRPr="00240265" w:rsidRDefault="00900523" w:rsidP="00900523">
      <w:pPr>
        <w:pStyle w:val="CMFBText"/>
      </w:pPr>
      <w:r w:rsidRPr="00240265">
        <w:t>The statistical activit</w:t>
      </w:r>
      <w:r w:rsidR="007E13D1">
        <w:t>ies</w:t>
      </w:r>
      <w:r w:rsidRPr="00240265">
        <w:t xml:space="preserve"> of the </w:t>
      </w:r>
      <w:r w:rsidR="00F518FB">
        <w:t xml:space="preserve">Czech National Bank </w:t>
      </w:r>
      <w:r w:rsidR="007E13D1">
        <w:t>are</w:t>
      </w:r>
      <w:r w:rsidRPr="00240265">
        <w:t xml:space="preserve"> in compliance with the </w:t>
      </w:r>
      <w:r w:rsidR="00F518FB">
        <w:t>Act on the</w:t>
      </w:r>
      <w:r w:rsidR="0078628F">
        <w:t> </w:t>
      </w:r>
      <w:r w:rsidR="00F518FB">
        <w:t>Czech National Bank</w:t>
      </w:r>
      <w:r w:rsidR="00AF30EF">
        <w:t>,</w:t>
      </w:r>
      <w:r w:rsidR="00F518FB">
        <w:t xml:space="preserve"> </w:t>
      </w:r>
      <w:r w:rsidRPr="00240265">
        <w:t xml:space="preserve">as </w:t>
      </w:r>
      <w:r w:rsidR="0078628F" w:rsidRPr="00240265">
        <w:t>amended</w:t>
      </w:r>
      <w:r w:rsidR="00AF30EF">
        <w:t>,</w:t>
      </w:r>
      <w:r w:rsidR="0078628F" w:rsidRPr="00240265">
        <w:t xml:space="preserve"> and</w:t>
      </w:r>
      <w:r w:rsidRPr="00240265">
        <w:t xml:space="preserve"> the EU/ECB legislation concerning the </w:t>
      </w:r>
      <w:r w:rsidR="00AF30EF">
        <w:t xml:space="preserve">bank’s </w:t>
      </w:r>
      <w:r w:rsidRPr="00240265">
        <w:t>activit</w:t>
      </w:r>
      <w:r w:rsidR="00AF30EF">
        <w:t>ies</w:t>
      </w:r>
      <w:r w:rsidRPr="00240265">
        <w:t xml:space="preserve"> as a member of the European System of Central Banks.</w:t>
      </w:r>
    </w:p>
    <w:p w:rsidR="005F75D3" w:rsidRPr="00240265" w:rsidRDefault="005F75D3" w:rsidP="00D227A9">
      <w:pPr>
        <w:pStyle w:val="CMFBText"/>
      </w:pPr>
      <w:r w:rsidRPr="00240265">
        <w:t>Article</w:t>
      </w:r>
      <w:r w:rsidR="005B3359">
        <w:t>s</w:t>
      </w:r>
      <w:r w:rsidRPr="00240265">
        <w:t xml:space="preserve"> </w:t>
      </w:r>
      <w:r w:rsidR="000A1144">
        <w:t>4</w:t>
      </w:r>
      <w:r w:rsidRPr="00240265">
        <w:t xml:space="preserve">1 </w:t>
      </w:r>
      <w:r w:rsidR="005B3359">
        <w:t xml:space="preserve">and 42 </w:t>
      </w:r>
      <w:r w:rsidRPr="00240265">
        <w:t xml:space="preserve">of the </w:t>
      </w:r>
      <w:r w:rsidR="000A1144">
        <w:t>Act on the Czech National Bank</w:t>
      </w:r>
      <w:r w:rsidRPr="00240265">
        <w:t xml:space="preserve"> govern the data collection for balance of payments purposes. </w:t>
      </w:r>
      <w:r w:rsidR="00330897">
        <w:t xml:space="preserve">The Act also identifies the Czech National Bank as the authority responsible for </w:t>
      </w:r>
      <w:r w:rsidR="00015155">
        <w:t>the data collection.</w:t>
      </w:r>
      <w:r w:rsidR="00330897">
        <w:t xml:space="preserve"> </w:t>
      </w:r>
      <w:r w:rsidRPr="00240265">
        <w:t xml:space="preserve">The Act </w:t>
      </w:r>
      <w:r w:rsidR="00ED7F3B">
        <w:t>authorises the issuance of</w:t>
      </w:r>
      <w:r w:rsidR="000A1144">
        <w:t xml:space="preserve"> decrees </w:t>
      </w:r>
      <w:r w:rsidR="00244A64">
        <w:t>on</w:t>
      </w:r>
      <w:r w:rsidRPr="00240265">
        <w:t xml:space="preserve"> reporting </w:t>
      </w:r>
      <w:r w:rsidR="00244A64">
        <w:t>requirements</w:t>
      </w:r>
      <w:r w:rsidRPr="00240265">
        <w:t xml:space="preserve"> for specific purposes, including for compiling the balance of payments of the </w:t>
      </w:r>
      <w:r w:rsidR="00330897">
        <w:t>Czech R</w:t>
      </w:r>
      <w:r w:rsidR="00244A64">
        <w:t xml:space="preserve">epublic. </w:t>
      </w:r>
      <w:r w:rsidRPr="00240265">
        <w:t xml:space="preserve">Accordingly, </w:t>
      </w:r>
      <w:hyperlink r:id="rId10" w:tgtFrame="_self" w:history="1">
        <w:r w:rsidR="0091174E">
          <w:rPr>
            <w:rFonts w:ascii="Calibri" w:hAnsi="Calibri"/>
            <w:color w:val="0000FF"/>
            <w:sz w:val="22"/>
            <w:szCs w:val="22"/>
            <w:u w:val="single"/>
            <w:lang w:val="en"/>
          </w:rPr>
          <w:t xml:space="preserve">Decree No. 217/2018 Coll. </w:t>
        </w:r>
      </w:hyperlink>
      <w:r w:rsidR="00330897" w:rsidRPr="00C50F95">
        <w:t>amending Decree No. 314/2013 Coll., on the submitting of statements to the Czech National Bank by entities that belong to the</w:t>
      </w:r>
      <w:r w:rsidR="00330897" w:rsidRPr="00330897">
        <w:rPr>
          <w:rFonts w:ascii="Calibri" w:hAnsi="Calibri"/>
          <w:sz w:val="22"/>
          <w:szCs w:val="22"/>
          <w:lang w:val="en"/>
        </w:rPr>
        <w:t xml:space="preserve"> </w:t>
      </w:r>
      <w:r w:rsidR="00330897" w:rsidRPr="00C50F95">
        <w:t>financial institutions sector and</w:t>
      </w:r>
      <w:r w:rsidR="00330897">
        <w:rPr>
          <w:rFonts w:ascii="Calibri" w:hAnsi="Calibri"/>
          <w:sz w:val="22"/>
          <w:szCs w:val="22"/>
          <w:lang w:val="en"/>
        </w:rPr>
        <w:t xml:space="preserve"> </w:t>
      </w:r>
      <w:hyperlink r:id="rId11" w:tgtFrame="_self" w:history="1">
        <w:r w:rsidR="00330897" w:rsidRPr="00C50F95">
          <w:rPr>
            <w:color w:val="0000FF"/>
            <w:u w:val="single"/>
            <w:lang w:val="en"/>
          </w:rPr>
          <w:t>Decree No. 235/2013 Coll.</w:t>
        </w:r>
        <w:r w:rsidR="00330897" w:rsidRPr="00330897">
          <w:rPr>
            <w:rFonts w:ascii="Calibri" w:hAnsi="Calibri"/>
            <w:color w:val="0000FF"/>
            <w:sz w:val="22"/>
            <w:szCs w:val="22"/>
            <w:u w:val="single"/>
            <w:lang w:val="en"/>
          </w:rPr>
          <w:t xml:space="preserve"> </w:t>
        </w:r>
      </w:hyperlink>
      <w:r w:rsidR="00330897" w:rsidRPr="00C50F95">
        <w:t>pertaining to the submission of statements to the Czech National Bank by statistically significant reporting entities, for the purposes of preparing international balance of payments, investment position and debt service statistics</w:t>
      </w:r>
      <w:r w:rsidRPr="00240265">
        <w:t xml:space="preserve"> </w:t>
      </w:r>
      <w:r w:rsidR="00015155" w:rsidRPr="00240265">
        <w:t>specify</w:t>
      </w:r>
      <w:r w:rsidRPr="00240265">
        <w:t xml:space="preserve"> in detail these reporting requirements, which form the core of the balance of payments data collection system. Moreover, the </w:t>
      </w:r>
      <w:r w:rsidR="00015155">
        <w:t>Czech N</w:t>
      </w:r>
      <w:r w:rsidR="00330897">
        <w:t>ational Bank</w:t>
      </w:r>
      <w:r w:rsidRPr="00240265">
        <w:t xml:space="preserve">, as </w:t>
      </w:r>
      <w:r w:rsidR="0032623B">
        <w:t xml:space="preserve">a </w:t>
      </w:r>
      <w:r w:rsidRPr="00240265">
        <w:t>member of the ESCB, is allocated the task to collect information on BOP and IIP statistics on the basis of Article 2 of Regulation No 2533/98.</w:t>
      </w:r>
    </w:p>
    <w:p w:rsidR="005F75D3" w:rsidRPr="00240265" w:rsidRDefault="005F75D3" w:rsidP="00D227A9">
      <w:pPr>
        <w:pStyle w:val="CMFBText"/>
      </w:pPr>
      <w:r w:rsidRPr="00240265">
        <w:t xml:space="preserve">In addition, </w:t>
      </w:r>
      <w:r w:rsidR="009012CC">
        <w:t>information used for balance of payments statistics is collected</w:t>
      </w:r>
      <w:r w:rsidR="009012CC" w:rsidRPr="00240265">
        <w:t xml:space="preserve"> </w:t>
      </w:r>
      <w:r w:rsidRPr="00240265">
        <w:t xml:space="preserve">on the basis of Article </w:t>
      </w:r>
      <w:r w:rsidR="00015155">
        <w:t>8a</w:t>
      </w:r>
      <w:r w:rsidRPr="00240265">
        <w:t xml:space="preserve"> of Act </w:t>
      </w:r>
      <w:r w:rsidR="00015155">
        <w:t xml:space="preserve">15/1998 </w:t>
      </w:r>
      <w:r w:rsidR="004A0D59">
        <w:t>Coll.</w:t>
      </w:r>
      <w:r w:rsidR="009012CC">
        <w:t>,</w:t>
      </w:r>
      <w:r w:rsidR="004A0D59">
        <w:t xml:space="preserve"> </w:t>
      </w:r>
      <w:r w:rsidR="00015155">
        <w:t xml:space="preserve">on </w:t>
      </w:r>
      <w:r w:rsidR="009012CC">
        <w:t>S</w:t>
      </w:r>
      <w:r w:rsidR="00015155">
        <w:t xml:space="preserve">upervision </w:t>
      </w:r>
      <w:r w:rsidR="009012CC">
        <w:t>in the</w:t>
      </w:r>
      <w:r w:rsidR="00015155">
        <w:t xml:space="preserve"> </w:t>
      </w:r>
      <w:r w:rsidR="009012CC">
        <w:t>C</w:t>
      </w:r>
      <w:r w:rsidR="00015155">
        <w:t xml:space="preserve">apital </w:t>
      </w:r>
      <w:r w:rsidR="009012CC">
        <w:t>M</w:t>
      </w:r>
      <w:r w:rsidR="00015155">
        <w:t xml:space="preserve">arket </w:t>
      </w:r>
      <w:r w:rsidR="009012CC">
        <w:t xml:space="preserve">Area, </w:t>
      </w:r>
      <w:r w:rsidR="00015155">
        <w:t>as amended</w:t>
      </w:r>
      <w:r w:rsidR="009012CC">
        <w:t>,</w:t>
      </w:r>
      <w:r w:rsidR="00015155">
        <w:t xml:space="preserve"> </w:t>
      </w:r>
      <w:r w:rsidRPr="00240265">
        <w:t xml:space="preserve">and </w:t>
      </w:r>
      <w:r w:rsidR="00015155">
        <w:t>Act 277/2015 Coll.</w:t>
      </w:r>
      <w:r w:rsidR="009012CC">
        <w:t>,</w:t>
      </w:r>
      <w:r w:rsidR="0078628F">
        <w:t xml:space="preserve"> and</w:t>
      </w:r>
      <w:r w:rsidR="00015155">
        <w:t xml:space="preserve"> </w:t>
      </w:r>
      <w:r w:rsidR="0078628F">
        <w:t xml:space="preserve">according to </w:t>
      </w:r>
      <w:r w:rsidR="009012CC">
        <w:t xml:space="preserve">Article 15 of </w:t>
      </w:r>
      <w:r w:rsidR="0078628F">
        <w:t>the Act o</w:t>
      </w:r>
      <w:r w:rsidR="00015155">
        <w:t xml:space="preserve">n </w:t>
      </w:r>
      <w:r w:rsidR="009012CC">
        <w:t>Bureau-de-Change</w:t>
      </w:r>
      <w:r w:rsidR="0078628F">
        <w:t xml:space="preserve"> </w:t>
      </w:r>
      <w:r w:rsidR="00331479">
        <w:t xml:space="preserve">Activity. </w:t>
      </w:r>
      <w:r w:rsidR="004A0D59">
        <w:t>Furthermore</w:t>
      </w:r>
      <w:r w:rsidR="004D4FF9">
        <w:t>,</w:t>
      </w:r>
      <w:r w:rsidR="004A0D59">
        <w:t xml:space="preserve"> </w:t>
      </w:r>
      <w:r w:rsidRPr="00240265">
        <w:t xml:space="preserve">Regulation of the European Central Bank (ECB) concerning the consolidated balance sheet of the monetary financial institutions sector </w:t>
      </w:r>
      <w:r w:rsidR="004A0D59">
        <w:t xml:space="preserve">enables </w:t>
      </w:r>
      <w:r w:rsidRPr="00240265">
        <w:t xml:space="preserve">the </w:t>
      </w:r>
      <w:r w:rsidR="00015155">
        <w:t xml:space="preserve">Czech National </w:t>
      </w:r>
      <w:r w:rsidR="004D4FF9">
        <w:t xml:space="preserve">Bank </w:t>
      </w:r>
      <w:r w:rsidR="004A0D59">
        <w:t>to</w:t>
      </w:r>
      <w:r w:rsidRPr="00240265">
        <w:t xml:space="preserve"> collect statistics in the field of money and banking from all credit institutions to fulfil its tasks. Such data are also used partly for balance of payments statistics purposes.</w:t>
      </w:r>
    </w:p>
    <w:p w:rsidR="005F75D3" w:rsidRPr="00240265" w:rsidRDefault="009012CC" w:rsidP="00D227A9">
      <w:pPr>
        <w:pStyle w:val="CMFBText"/>
      </w:pPr>
      <w:r>
        <w:t>T</w:t>
      </w:r>
      <w:r w:rsidR="005F75D3" w:rsidRPr="00240265">
        <w:t xml:space="preserve">he responsibility for disseminating balance of payments statistics is defined in </w:t>
      </w:r>
      <w:r>
        <w:t xml:space="preserve">Article 42b of </w:t>
      </w:r>
      <w:r w:rsidR="005F75D3" w:rsidRPr="00240265">
        <w:t xml:space="preserve">the </w:t>
      </w:r>
      <w:r w:rsidR="00331479">
        <w:t>Act on the Czech National Bank</w:t>
      </w:r>
      <w:r w:rsidR="00136852">
        <w:t>.</w:t>
      </w:r>
      <w:r w:rsidR="00331479">
        <w:t xml:space="preserve"> </w:t>
      </w:r>
    </w:p>
    <w:p w:rsidR="005F75D3" w:rsidRPr="00FC223E" w:rsidRDefault="005F75D3" w:rsidP="00FC223E">
      <w:pPr>
        <w:pStyle w:val="Nadpis2"/>
        <w:ind w:hanging="709"/>
        <w:rPr>
          <w:b/>
        </w:rPr>
      </w:pPr>
      <w:r w:rsidRPr="00FC223E">
        <w:rPr>
          <w:b/>
        </w:rPr>
        <w:t>CoP6 Impartiality and objectivity / PC6 Impartiality and objectivity</w:t>
      </w:r>
    </w:p>
    <w:p w:rsidR="005F75D3" w:rsidRPr="00FC223E" w:rsidRDefault="005F75D3" w:rsidP="00FC223E">
      <w:pPr>
        <w:pStyle w:val="Nadpis3"/>
        <w:ind w:left="709" w:hanging="709"/>
        <w:rPr>
          <w:i/>
          <w:u w:val="none"/>
        </w:rPr>
      </w:pPr>
      <w:r w:rsidRPr="00FC223E">
        <w:rPr>
          <w:i/>
          <w:u w:val="none"/>
        </w:rPr>
        <w:t>Advance release calendar</w:t>
      </w:r>
    </w:p>
    <w:p w:rsidR="005F75D3" w:rsidRPr="00F50812" w:rsidRDefault="005F75D3" w:rsidP="004154A4">
      <w:pPr>
        <w:pStyle w:val="Nadpis4"/>
        <w:numPr>
          <w:ilvl w:val="0"/>
          <w:numId w:val="0"/>
        </w:numPr>
        <w:spacing w:before="240" w:after="240" w:line="240" w:lineRule="auto"/>
        <w:ind w:left="567"/>
      </w:pPr>
      <w:r w:rsidRPr="00F50812">
        <w:t>Balance of payments</w:t>
      </w:r>
      <w:r w:rsidR="00A8267B">
        <w:t xml:space="preserve"> and international investment position</w:t>
      </w:r>
    </w:p>
    <w:p w:rsidR="005F75D3" w:rsidRDefault="005F75D3">
      <w:pPr>
        <w:pStyle w:val="CMFBText"/>
      </w:pPr>
      <w:r w:rsidRPr="00240265">
        <w:t xml:space="preserve">An advance release calendar that gives the </w:t>
      </w:r>
      <w:r w:rsidR="008B78A8">
        <w:t>precise release dates</w:t>
      </w:r>
      <w:r w:rsidR="00101BCE">
        <w:t xml:space="preserve"> </w:t>
      </w:r>
      <w:r w:rsidR="008B78A8">
        <w:t>on a</w:t>
      </w:r>
      <w:r w:rsidRPr="00240265">
        <w:t xml:space="preserve"> monthly </w:t>
      </w:r>
      <w:r w:rsidR="008B78A8">
        <w:t>basis</w:t>
      </w:r>
      <w:r w:rsidRPr="00240265">
        <w:t xml:space="preserve"> for the coming year, and </w:t>
      </w:r>
      <w:r w:rsidR="00101BCE">
        <w:t xml:space="preserve">preliminary </w:t>
      </w:r>
      <w:r w:rsidR="009012CC">
        <w:t xml:space="preserve">ones </w:t>
      </w:r>
      <w:r w:rsidRPr="00240265">
        <w:t xml:space="preserve">for </w:t>
      </w:r>
      <w:r w:rsidR="00101BCE">
        <w:t xml:space="preserve">the first quarter </w:t>
      </w:r>
      <w:r w:rsidRPr="00240265">
        <w:t xml:space="preserve">of the following year, is disseminated at the end of </w:t>
      </w:r>
      <w:r w:rsidR="00101BCE">
        <w:t>October</w:t>
      </w:r>
      <w:r w:rsidRPr="00240265">
        <w:t xml:space="preserve"> each year on the website of the </w:t>
      </w:r>
      <w:r w:rsidR="008B78A8">
        <w:t>Czech National Bank</w:t>
      </w:r>
      <w:r w:rsidRPr="00240265">
        <w:t xml:space="preserve">: </w:t>
      </w:r>
    </w:p>
    <w:p w:rsidR="008B78A8" w:rsidRPr="008C2007" w:rsidRDefault="00731863">
      <w:pPr>
        <w:pStyle w:val="CMFBText"/>
        <w:rPr>
          <w:color w:val="0000FF" w:themeColor="hyperlink"/>
          <w:u w:val="single"/>
        </w:rPr>
      </w:pPr>
      <w:hyperlink r:id="rId12" w:history="1"/>
      <w:r w:rsidR="008C2007">
        <w:rPr>
          <w:rStyle w:val="Hypertextovodkaz"/>
        </w:rPr>
        <w:t xml:space="preserve"> </w:t>
      </w:r>
      <w:hyperlink r:id="rId13" w:history="1">
        <w:r w:rsidR="008C2007" w:rsidRPr="008C2007">
          <w:rPr>
            <w:rStyle w:val="Hypertextovodkaz"/>
          </w:rPr>
          <w:t>https://www.cnb.cz/en/cnb-news/calendar/</w:t>
        </w:r>
      </w:hyperlink>
    </w:p>
    <w:p w:rsidR="005F75D3" w:rsidRPr="00240265" w:rsidRDefault="005F75D3" w:rsidP="00A7335A">
      <w:pPr>
        <w:pStyle w:val="CMFBText"/>
      </w:pPr>
      <w:r w:rsidRPr="00240265">
        <w:t xml:space="preserve">The </w:t>
      </w:r>
      <w:r w:rsidR="008B78A8">
        <w:t xml:space="preserve">data are </w:t>
      </w:r>
      <w:r w:rsidRPr="00240265">
        <w:t>release</w:t>
      </w:r>
      <w:r w:rsidR="008B78A8">
        <w:t xml:space="preserve">d </w:t>
      </w:r>
      <w:r w:rsidR="009012CC">
        <w:t>on the</w:t>
      </w:r>
      <w:r w:rsidR="008B78A8">
        <w:t xml:space="preserve"> announced dates</w:t>
      </w:r>
      <w:r w:rsidRPr="00240265">
        <w:t xml:space="preserve"> on the </w:t>
      </w:r>
      <w:r w:rsidR="008B78A8">
        <w:t xml:space="preserve">Czech National Bank </w:t>
      </w:r>
      <w:r w:rsidRPr="00240265">
        <w:t xml:space="preserve">website </w:t>
      </w:r>
      <w:r w:rsidR="008B78A8">
        <w:t>at</w:t>
      </w:r>
      <w:r w:rsidRPr="00240265">
        <w:t xml:space="preserve"> 1</w:t>
      </w:r>
      <w:r w:rsidR="008B78A8">
        <w:t>0</w:t>
      </w:r>
      <w:r w:rsidRPr="00240265">
        <w:t xml:space="preserve"> a.m. CET.</w:t>
      </w:r>
    </w:p>
    <w:p w:rsidR="005F75D3" w:rsidRPr="00240265" w:rsidRDefault="00A8267B" w:rsidP="00A7335A">
      <w:pPr>
        <w:pStyle w:val="CMFBText"/>
      </w:pPr>
      <w:r>
        <w:rPr>
          <w:rStyle w:val="Hypertextovodkaz"/>
        </w:rPr>
        <w:t xml:space="preserve"> </w:t>
      </w:r>
    </w:p>
    <w:p w:rsidR="005F75D3" w:rsidRPr="00FC223E" w:rsidRDefault="005F75D3" w:rsidP="00FC223E">
      <w:pPr>
        <w:pStyle w:val="Nadpis3"/>
        <w:ind w:left="709" w:hanging="709"/>
        <w:rPr>
          <w:i/>
          <w:u w:val="none"/>
        </w:rPr>
      </w:pPr>
      <w:r w:rsidRPr="00FC223E">
        <w:rPr>
          <w:i/>
          <w:u w:val="none"/>
        </w:rPr>
        <w:t>Revision policy</w:t>
      </w:r>
    </w:p>
    <w:p w:rsidR="00A8267B" w:rsidRDefault="005F75D3" w:rsidP="00A7335A">
      <w:pPr>
        <w:pStyle w:val="CMFBText"/>
        <w:rPr>
          <w:rStyle w:val="Hypertextovodkaz"/>
          <w:lang w:eastAsia="de-DE"/>
        </w:rPr>
      </w:pPr>
      <w:r w:rsidRPr="00240265">
        <w:t xml:space="preserve">Methodological changes are generally communicated </w:t>
      </w:r>
      <w:r w:rsidR="001D40AA">
        <w:t>around</w:t>
      </w:r>
      <w:r w:rsidRPr="00240265">
        <w:t xml:space="preserve"> the publication </w:t>
      </w:r>
      <w:r w:rsidR="001D40AA">
        <w:t xml:space="preserve">date </w:t>
      </w:r>
      <w:r w:rsidRPr="00240265">
        <w:t xml:space="preserve">of new data </w:t>
      </w:r>
      <w:r w:rsidR="001D40AA">
        <w:t>as part of</w:t>
      </w:r>
      <w:r w:rsidRPr="00240265">
        <w:t xml:space="preserve"> the methodological notes on </w:t>
      </w:r>
      <w:r w:rsidR="00A8267B">
        <w:t xml:space="preserve">the commentary on </w:t>
      </w:r>
      <w:r w:rsidRPr="00240265">
        <w:t xml:space="preserve">the </w:t>
      </w:r>
      <w:r w:rsidR="00A8267B">
        <w:t>CNB website</w:t>
      </w:r>
      <w:r w:rsidR="00EF25D8">
        <w:t>:</w:t>
      </w:r>
    </w:p>
    <w:p w:rsidR="00A8267B" w:rsidRDefault="00C441F4" w:rsidP="00A7335A">
      <w:pPr>
        <w:pStyle w:val="CMFBText"/>
        <w:rPr>
          <w:rStyle w:val="Hypertextovodkaz"/>
          <w:lang w:eastAsia="de-DE"/>
        </w:rPr>
      </w:pPr>
      <w:r>
        <w:rPr>
          <w:rStyle w:val="Hypertextovodkaz"/>
          <w:lang w:eastAsia="de-DE"/>
        </w:rPr>
        <w:lastRenderedPageBreak/>
        <w:t xml:space="preserve"> </w:t>
      </w:r>
      <w:r w:rsidR="008C2007" w:rsidRPr="008C2007">
        <w:rPr>
          <w:rStyle w:val="Hypertextovodkaz"/>
          <w:lang w:eastAsia="de-DE"/>
        </w:rPr>
        <w:t>https://www.cnb.cz/en/statistics/bop_stat/</w:t>
      </w:r>
    </w:p>
    <w:p w:rsidR="00C441F4" w:rsidRDefault="00731863" w:rsidP="00A7335A">
      <w:pPr>
        <w:pStyle w:val="CMFBText"/>
      </w:pPr>
      <w:hyperlink r:id="rId14" w:history="1"/>
      <w:r w:rsidR="008C2007">
        <w:rPr>
          <w:rStyle w:val="Hypertextovodkaz"/>
        </w:rPr>
        <w:t xml:space="preserve"> </w:t>
      </w:r>
    </w:p>
    <w:p w:rsidR="00A8267B" w:rsidRDefault="005F75D3" w:rsidP="00A7335A">
      <w:pPr>
        <w:pStyle w:val="CMFBText"/>
      </w:pPr>
      <w:r w:rsidRPr="00240265">
        <w:t>Major methodological changes, such as the implementation of new Manuals</w:t>
      </w:r>
      <w:r w:rsidR="0053538C">
        <w:t>,</w:t>
      </w:r>
      <w:r w:rsidR="00A8267B">
        <w:t xml:space="preserve"> were</w:t>
      </w:r>
      <w:r w:rsidRPr="00240265">
        <w:t xml:space="preserve"> communicated and explained in more detail </w:t>
      </w:r>
      <w:r w:rsidR="00A8267B">
        <w:t>to the public</w:t>
      </w:r>
      <w:r w:rsidR="00EF25D8">
        <w:t>:</w:t>
      </w:r>
    </w:p>
    <w:p w:rsidR="008C2007" w:rsidRDefault="008C2007" w:rsidP="00A7335A">
      <w:pPr>
        <w:pStyle w:val="CMFBText"/>
      </w:pPr>
      <w:hyperlink r:id="rId15" w:history="1">
        <w:r w:rsidRPr="002E7D9B">
          <w:rPr>
            <w:rStyle w:val="Hypertextovodkaz"/>
          </w:rPr>
          <w:t>https://www.cnb.cz/en/statistics/bop_stat/implementing-the-new-balance-of-payments-manual-bpm6/</w:t>
        </w:r>
      </w:hyperlink>
    </w:p>
    <w:p w:rsidR="00B97D67" w:rsidRPr="00B206DF" w:rsidRDefault="008C2007" w:rsidP="00B97D67">
      <w:pPr>
        <w:pStyle w:val="CMFBText"/>
        <w:rPr>
          <w:color w:val="0000FF" w:themeColor="hyperlink"/>
          <w:u w:val="single"/>
        </w:rPr>
      </w:pPr>
      <w:r>
        <w:t xml:space="preserve"> </w:t>
      </w:r>
    </w:p>
    <w:p w:rsidR="005F75D3" w:rsidRPr="00240265" w:rsidRDefault="005F75D3" w:rsidP="000C0A02">
      <w:pPr>
        <w:pStyle w:val="CMFBText"/>
      </w:pPr>
      <w:r w:rsidRPr="00240265">
        <w:t xml:space="preserve">At the time of the first publication of data, users are informed </w:t>
      </w:r>
      <w:r w:rsidR="000C0A02">
        <w:t>on the methodological changes.</w:t>
      </w:r>
      <w:r w:rsidRPr="00240265">
        <w:t xml:space="preserve"> Similarly, at the time of data dissemination, users are informed whenever data are revised. </w:t>
      </w:r>
      <w:r w:rsidR="000C0A02">
        <w:t xml:space="preserve"> </w:t>
      </w:r>
      <w:r w:rsidRPr="00240265">
        <w:t xml:space="preserve"> </w:t>
      </w:r>
    </w:p>
    <w:p w:rsidR="005F75D3" w:rsidRPr="00D14E8D" w:rsidRDefault="005F75D3" w:rsidP="00D14E8D">
      <w:pPr>
        <w:pStyle w:val="Nadpis1"/>
      </w:pPr>
      <w:r w:rsidRPr="00D14E8D">
        <w:t>STATISTICAL PROCESSES</w:t>
      </w:r>
    </w:p>
    <w:p w:rsidR="005F75D3" w:rsidRDefault="005F75D3" w:rsidP="00FC223E">
      <w:pPr>
        <w:pStyle w:val="Nadpis2"/>
        <w:ind w:hanging="709"/>
        <w:rPr>
          <w:b/>
        </w:rPr>
      </w:pPr>
      <w:r w:rsidRPr="00FC223E">
        <w:rPr>
          <w:b/>
        </w:rPr>
        <w:t>CoP7 Sound methodology / PC7 Sound methodology</w:t>
      </w:r>
    </w:p>
    <w:p w:rsidR="00900523" w:rsidRPr="00A323BF" w:rsidRDefault="00900523" w:rsidP="00900523">
      <w:pPr>
        <w:pStyle w:val="Nadpis3"/>
        <w:ind w:left="709" w:hanging="709"/>
        <w:rPr>
          <w:i/>
          <w:u w:val="none"/>
        </w:rPr>
      </w:pPr>
      <w:r>
        <w:rPr>
          <w:i/>
          <w:u w:val="none"/>
        </w:rPr>
        <w:t>General remarks</w:t>
      </w:r>
    </w:p>
    <w:p w:rsidR="0053538C" w:rsidRDefault="00175384" w:rsidP="00A7335A">
      <w:pPr>
        <w:pStyle w:val="CMFBText"/>
      </w:pPr>
      <w:r>
        <w:t>B</w:t>
      </w:r>
      <w:r w:rsidR="005F75D3" w:rsidRPr="00240265">
        <w:t xml:space="preserve">alance of payments and international investment position </w:t>
      </w:r>
      <w:r w:rsidR="00397236">
        <w:t xml:space="preserve">statistics </w:t>
      </w:r>
      <w:r>
        <w:t xml:space="preserve">of the Czech Republic </w:t>
      </w:r>
      <w:r w:rsidR="005F75D3" w:rsidRPr="00240265">
        <w:t xml:space="preserve">are generally consistent with the overall conceptual framework of the IMF’s Balance of Payments Manual, sixth edition (BPM6). This revised standard is also </w:t>
      </w:r>
      <w:r w:rsidR="001F7AC9">
        <w:t>obligatory</w:t>
      </w:r>
      <w:r w:rsidR="005F75D3" w:rsidRPr="00240265">
        <w:t xml:space="preserve"> for EU </w:t>
      </w:r>
      <w:r w:rsidR="00741061">
        <w:t>M</w:t>
      </w:r>
      <w:r w:rsidR="005F75D3" w:rsidRPr="00240265">
        <w:t xml:space="preserve">ember </w:t>
      </w:r>
      <w:r w:rsidR="00741061">
        <w:t>S</w:t>
      </w:r>
      <w:r w:rsidR="005F75D3" w:rsidRPr="00240265">
        <w:t xml:space="preserve">tates </w:t>
      </w:r>
      <w:r w:rsidR="00741061">
        <w:t>pursuant to</w:t>
      </w:r>
      <w:r w:rsidR="005F75D3" w:rsidRPr="00240265">
        <w:t xml:space="preserve"> a Commission Regulation and an ECB Guideline that specifies the reporting requirements for </w:t>
      </w:r>
      <w:r w:rsidR="001F7AC9">
        <w:t xml:space="preserve">EU </w:t>
      </w:r>
      <w:r w:rsidR="00204960">
        <w:t>M</w:t>
      </w:r>
      <w:r w:rsidR="001F7AC9">
        <w:t xml:space="preserve">ember </w:t>
      </w:r>
      <w:r w:rsidR="00204960">
        <w:t>S</w:t>
      </w:r>
      <w:r w:rsidR="001F7AC9">
        <w:t xml:space="preserve">tates and </w:t>
      </w:r>
      <w:r w:rsidR="005F75D3" w:rsidRPr="00240265">
        <w:t xml:space="preserve">national central banks. The statistical methods </w:t>
      </w:r>
      <w:r>
        <w:t xml:space="preserve">describing the </w:t>
      </w:r>
      <w:r w:rsidR="001A43C2">
        <w:t xml:space="preserve">data for the </w:t>
      </w:r>
      <w:r>
        <w:t>Czech Republic</w:t>
      </w:r>
      <w:r w:rsidR="0053538C">
        <w:t xml:space="preserve"> </w:t>
      </w:r>
      <w:r w:rsidR="005F75D3" w:rsidRPr="00240265">
        <w:t xml:space="preserve">are published </w:t>
      </w:r>
      <w:r w:rsidR="00462B54">
        <w:t xml:space="preserve">and updated </w:t>
      </w:r>
      <w:r w:rsidR="005F75D3" w:rsidRPr="00240265">
        <w:t>in the ECB’s Balance of Payments/International Investment Position Statistical Methods</w:t>
      </w:r>
      <w:r w:rsidR="001F7AC9">
        <w:t xml:space="preserve"> and in </w:t>
      </w:r>
      <w:r w:rsidR="005F75D3" w:rsidRPr="00240265">
        <w:t xml:space="preserve">the IMF’s Balance of Payments Statistics Yearbook (BOPSY), reviewed and updated by the </w:t>
      </w:r>
      <w:r w:rsidR="00EA6346">
        <w:t>Czech National Bank</w:t>
      </w:r>
      <w:r w:rsidR="005F75D3" w:rsidRPr="00240265">
        <w:t xml:space="preserve"> as required by the IMF BOPSY annual production procedures. A detailed description of the </w:t>
      </w:r>
      <w:r w:rsidR="00865973">
        <w:t>Czech Republic</w:t>
      </w:r>
      <w:r w:rsidR="001A43C2">
        <w:t>’s</w:t>
      </w:r>
      <w:r w:rsidR="005F75D3" w:rsidRPr="00240265">
        <w:t xml:space="preserve"> balance of payments and international investment position compilation system can also be found within the metadata description of the IMF</w:t>
      </w:r>
      <w:r w:rsidR="001A43C2">
        <w:t>’</w:t>
      </w:r>
      <w:r w:rsidR="00851BE6">
        <w:t xml:space="preserve">s </w:t>
      </w:r>
      <w:hyperlink r:id="rId16" w:history="1">
        <w:r w:rsidR="00851BE6" w:rsidRPr="00851BE6">
          <w:rPr>
            <w:rStyle w:val="Hypertextovodkaz"/>
          </w:rPr>
          <w:t>SDDS Plus</w:t>
        </w:r>
      </w:hyperlink>
      <w:r w:rsidR="005F75D3" w:rsidRPr="00240265">
        <w:t xml:space="preserve"> </w:t>
      </w:r>
      <w:r w:rsidR="0076455F">
        <w:t xml:space="preserve">and in the </w:t>
      </w:r>
      <w:r w:rsidR="00397236">
        <w:t>C</w:t>
      </w:r>
      <w:r w:rsidR="00CC3438">
        <w:t>zech National Bank</w:t>
      </w:r>
      <w:r w:rsidR="001A43C2">
        <w:t>’</w:t>
      </w:r>
      <w:r w:rsidR="00CC3438">
        <w:t>s</w:t>
      </w:r>
      <w:r w:rsidR="00397236">
        <w:rPr>
          <w:lang w:val="cs-CZ"/>
        </w:rPr>
        <w:t xml:space="preserve"> </w:t>
      </w:r>
      <w:hyperlink r:id="rId17" w:history="1">
        <w:r w:rsidR="00851BE6" w:rsidRPr="00851BE6">
          <w:rPr>
            <w:rStyle w:val="Hypertextovodkaz"/>
          </w:rPr>
          <w:t>ARAD database</w:t>
        </w:r>
      </w:hyperlink>
      <w:r w:rsidR="00851BE6">
        <w:rPr>
          <w:lang w:val="cs-CZ"/>
        </w:rPr>
        <w:t>.</w:t>
      </w:r>
      <w:r w:rsidR="005F75D3" w:rsidRPr="00240265">
        <w:t xml:space="preserve"> </w:t>
      </w:r>
    </w:p>
    <w:p w:rsidR="0076455F" w:rsidRPr="00240265" w:rsidRDefault="00731863" w:rsidP="00A7335A">
      <w:pPr>
        <w:pStyle w:val="CMFBText"/>
      </w:pPr>
      <w:hyperlink r:id="rId18" w:history="1"/>
    </w:p>
    <w:p w:rsidR="00C60846" w:rsidRPr="00A323BF" w:rsidRDefault="00C60846" w:rsidP="00C60846">
      <w:pPr>
        <w:pStyle w:val="Nadpis3"/>
        <w:ind w:left="709" w:hanging="709"/>
        <w:rPr>
          <w:i/>
          <w:u w:val="none"/>
        </w:rPr>
      </w:pPr>
      <w:r>
        <w:rPr>
          <w:i/>
          <w:u w:val="none"/>
        </w:rPr>
        <w:t>Residency</w:t>
      </w:r>
    </w:p>
    <w:p w:rsidR="00C60846" w:rsidRDefault="0076455F" w:rsidP="00A7335A">
      <w:pPr>
        <w:pStyle w:val="CMFBText"/>
      </w:pPr>
      <w:r>
        <w:t>The Czech Republic</w:t>
      </w:r>
      <w:r w:rsidR="001A43C2">
        <w:t>’s</w:t>
      </w:r>
      <w:r w:rsidR="00C60846">
        <w:t xml:space="preserve"> balance of payments and international investment position statistics follow the BPM6 residency concepts.</w:t>
      </w:r>
    </w:p>
    <w:p w:rsidR="00C60846" w:rsidRPr="00A323BF" w:rsidRDefault="00C60846" w:rsidP="00C60846">
      <w:pPr>
        <w:pStyle w:val="Nadpis3"/>
        <w:ind w:left="709" w:hanging="709"/>
        <w:rPr>
          <w:i/>
          <w:u w:val="none"/>
        </w:rPr>
      </w:pPr>
      <w:r>
        <w:rPr>
          <w:i/>
          <w:u w:val="none"/>
        </w:rPr>
        <w:t>Institutional unit definition</w:t>
      </w:r>
    </w:p>
    <w:p w:rsidR="00C60846" w:rsidRDefault="00966B8B" w:rsidP="00A7335A">
      <w:pPr>
        <w:pStyle w:val="CMFBText"/>
      </w:pPr>
      <w:r w:rsidRPr="00966B8B">
        <w:t xml:space="preserve">Resident institutional units are defined in </w:t>
      </w:r>
      <w:r w:rsidR="0076455F">
        <w:t>accordance</w:t>
      </w:r>
      <w:r w:rsidRPr="00966B8B">
        <w:t xml:space="preserve"> with BPM6 as those that have a centre of predominant economic interest in </w:t>
      </w:r>
      <w:r w:rsidR="0076455F">
        <w:t>the Czech Republic</w:t>
      </w:r>
      <w:r w:rsidRPr="00966B8B">
        <w:t>.</w:t>
      </w:r>
    </w:p>
    <w:p w:rsidR="00C60846" w:rsidRPr="00A323BF" w:rsidRDefault="00C60846" w:rsidP="00C60846">
      <w:pPr>
        <w:pStyle w:val="Nadpis3"/>
        <w:ind w:left="709" w:hanging="709"/>
        <w:rPr>
          <w:i/>
          <w:u w:val="none"/>
        </w:rPr>
      </w:pPr>
      <w:proofErr w:type="spellStart"/>
      <w:r>
        <w:rPr>
          <w:i/>
          <w:u w:val="none"/>
        </w:rPr>
        <w:lastRenderedPageBreak/>
        <w:t>Sectorisation</w:t>
      </w:r>
      <w:proofErr w:type="spellEnd"/>
      <w:r>
        <w:rPr>
          <w:i/>
          <w:u w:val="none"/>
        </w:rPr>
        <w:t xml:space="preserve"> &amp; sector definition and delimitation</w:t>
      </w:r>
    </w:p>
    <w:p w:rsidR="005F75D3" w:rsidRPr="004A15E1" w:rsidRDefault="000D67B3" w:rsidP="004A15E1">
      <w:pPr>
        <w:pStyle w:val="Nadpis3"/>
        <w:numPr>
          <w:ilvl w:val="0"/>
          <w:numId w:val="0"/>
        </w:numPr>
        <w:rPr>
          <w:u w:val="none"/>
        </w:rPr>
      </w:pPr>
      <w:r w:rsidRPr="004A15E1">
        <w:rPr>
          <w:u w:val="none"/>
        </w:rPr>
        <w:t xml:space="preserve">The classification and </w:t>
      </w:r>
      <w:proofErr w:type="spellStart"/>
      <w:r w:rsidRPr="004A15E1">
        <w:rPr>
          <w:u w:val="none"/>
        </w:rPr>
        <w:t>sectoris</w:t>
      </w:r>
      <w:r w:rsidR="005F75D3" w:rsidRPr="004A15E1">
        <w:rPr>
          <w:u w:val="none"/>
        </w:rPr>
        <w:t>ation</w:t>
      </w:r>
      <w:proofErr w:type="spellEnd"/>
      <w:r w:rsidR="005F75D3" w:rsidRPr="004A15E1">
        <w:rPr>
          <w:u w:val="none"/>
        </w:rPr>
        <w:t xml:space="preserve"> used to compile </w:t>
      </w:r>
      <w:r w:rsidR="0076455F" w:rsidRPr="004A15E1">
        <w:rPr>
          <w:u w:val="none"/>
        </w:rPr>
        <w:t>the Czech Republic</w:t>
      </w:r>
      <w:r w:rsidR="001A43C2">
        <w:rPr>
          <w:u w:val="none"/>
        </w:rPr>
        <w:t>’s</w:t>
      </w:r>
      <w:r w:rsidR="005F75D3" w:rsidRPr="004A15E1">
        <w:rPr>
          <w:u w:val="none"/>
        </w:rPr>
        <w:t xml:space="preserve"> balance of payments is essentially </w:t>
      </w:r>
      <w:r w:rsidR="00136852">
        <w:rPr>
          <w:u w:val="none"/>
        </w:rPr>
        <w:t xml:space="preserve">based on </w:t>
      </w:r>
      <w:r w:rsidR="005F75D3" w:rsidRPr="004A15E1">
        <w:rPr>
          <w:u w:val="none"/>
        </w:rPr>
        <w:t>the BPM6</w:t>
      </w:r>
      <w:r w:rsidR="003F5264">
        <w:rPr>
          <w:u w:val="none"/>
        </w:rPr>
        <w:t xml:space="preserve"> and is consistent with ESA 2010</w:t>
      </w:r>
      <w:r w:rsidR="005F75D3" w:rsidRPr="004A15E1">
        <w:rPr>
          <w:u w:val="none"/>
        </w:rPr>
        <w:t xml:space="preserve">. </w:t>
      </w:r>
      <w:r w:rsidR="00F24A93" w:rsidRPr="004A15E1">
        <w:rPr>
          <w:u w:val="none"/>
        </w:rPr>
        <w:t>Nevertheless</w:t>
      </w:r>
      <w:r w:rsidR="0053538C">
        <w:rPr>
          <w:u w:val="none"/>
        </w:rPr>
        <w:t>,</w:t>
      </w:r>
      <w:r w:rsidR="00F24A93" w:rsidRPr="004A15E1">
        <w:rPr>
          <w:u w:val="none"/>
        </w:rPr>
        <w:t xml:space="preserve"> t</w:t>
      </w:r>
      <w:r w:rsidR="00865973" w:rsidRPr="004A15E1">
        <w:rPr>
          <w:u w:val="none"/>
        </w:rPr>
        <w:t>he Czech Republic</w:t>
      </w:r>
      <w:r w:rsidR="00865973" w:rsidRPr="004A15E1">
        <w:rPr>
          <w:color w:val="1F497D"/>
          <w:u w:val="none"/>
        </w:rPr>
        <w:t xml:space="preserve"> </w:t>
      </w:r>
      <w:r w:rsidR="00397236">
        <w:rPr>
          <w:color w:val="1F497D"/>
          <w:u w:val="none"/>
        </w:rPr>
        <w:t xml:space="preserve">is </w:t>
      </w:r>
      <w:r w:rsidR="00865973" w:rsidRPr="00A70435">
        <w:rPr>
          <w:u w:val="none"/>
        </w:rPr>
        <w:t xml:space="preserve">dealing with the </w:t>
      </w:r>
      <w:r w:rsidR="00865973" w:rsidRPr="004A15E1">
        <w:rPr>
          <w:u w:val="none"/>
        </w:rPr>
        <w:t xml:space="preserve">reclassification of two banks (the Czech Export Bank and the Czech-Moravian Guarantee and Development Bank) into the government sector for EDP purposes in spite of the fact that these banks are on the list of Czech MFIs. This is creating </w:t>
      </w:r>
      <w:proofErr w:type="spellStart"/>
      <w:r w:rsidR="00F24A93" w:rsidRPr="004A15E1">
        <w:rPr>
          <w:u w:val="none"/>
        </w:rPr>
        <w:t>sectorisation</w:t>
      </w:r>
      <w:proofErr w:type="spellEnd"/>
      <w:r w:rsidR="00F24A93" w:rsidRPr="004A15E1">
        <w:rPr>
          <w:u w:val="none"/>
        </w:rPr>
        <w:t xml:space="preserve"> </w:t>
      </w:r>
      <w:r w:rsidR="003B5FFF">
        <w:rPr>
          <w:u w:val="none"/>
        </w:rPr>
        <w:t>differences</w:t>
      </w:r>
      <w:r w:rsidR="00865973" w:rsidRPr="004A15E1">
        <w:rPr>
          <w:u w:val="none"/>
        </w:rPr>
        <w:t xml:space="preserve"> in the</w:t>
      </w:r>
      <w:r w:rsidR="00A70435">
        <w:rPr>
          <w:u w:val="none"/>
        </w:rPr>
        <w:t> </w:t>
      </w:r>
      <w:r w:rsidR="00865973" w:rsidRPr="004A15E1">
        <w:rPr>
          <w:u w:val="none"/>
        </w:rPr>
        <w:t xml:space="preserve">Czech statistics produced for </w:t>
      </w:r>
      <w:r w:rsidR="001A43C2">
        <w:rPr>
          <w:u w:val="none"/>
        </w:rPr>
        <w:t>the purposes of the</w:t>
      </w:r>
      <w:r w:rsidR="00EA3A65">
        <w:rPr>
          <w:u w:val="none"/>
        </w:rPr>
        <w:t> </w:t>
      </w:r>
      <w:r w:rsidR="001A43C2">
        <w:rPr>
          <w:u w:val="none"/>
        </w:rPr>
        <w:t>n</w:t>
      </w:r>
      <w:r w:rsidR="005B77A4">
        <w:rPr>
          <w:u w:val="none"/>
        </w:rPr>
        <w:t xml:space="preserve">ational </w:t>
      </w:r>
      <w:r w:rsidR="001A43C2">
        <w:rPr>
          <w:u w:val="none"/>
        </w:rPr>
        <w:t>a</w:t>
      </w:r>
      <w:r w:rsidR="005B77A4">
        <w:rPr>
          <w:u w:val="none"/>
        </w:rPr>
        <w:t>ccounts</w:t>
      </w:r>
      <w:r w:rsidR="00865973" w:rsidRPr="004A15E1">
        <w:rPr>
          <w:u w:val="none"/>
        </w:rPr>
        <w:t xml:space="preserve"> and </w:t>
      </w:r>
      <w:r w:rsidR="001A43C2">
        <w:rPr>
          <w:u w:val="none"/>
        </w:rPr>
        <w:t>the b</w:t>
      </w:r>
      <w:r w:rsidR="005B77A4">
        <w:rPr>
          <w:u w:val="none"/>
        </w:rPr>
        <w:t xml:space="preserve">alance of </w:t>
      </w:r>
      <w:r w:rsidR="001A43C2">
        <w:rPr>
          <w:u w:val="none"/>
        </w:rPr>
        <w:t>p</w:t>
      </w:r>
      <w:r w:rsidR="005B77A4">
        <w:rPr>
          <w:u w:val="none"/>
        </w:rPr>
        <w:t>ayments</w:t>
      </w:r>
      <w:r w:rsidR="00556AEF">
        <w:rPr>
          <w:u w:val="none"/>
        </w:rPr>
        <w:t xml:space="preserve"> </w:t>
      </w:r>
      <w:r w:rsidR="003B5FFF">
        <w:rPr>
          <w:u w:val="none"/>
        </w:rPr>
        <w:t>(</w:t>
      </w:r>
      <w:r w:rsidR="001A43C2">
        <w:rPr>
          <w:u w:val="none"/>
        </w:rPr>
        <w:t xml:space="preserve">where </w:t>
      </w:r>
      <w:r w:rsidR="003B5FFF">
        <w:rPr>
          <w:u w:val="none"/>
        </w:rPr>
        <w:t>the list of Czech MFIs is</w:t>
      </w:r>
      <w:r w:rsidR="005B77A4">
        <w:rPr>
          <w:u w:val="none"/>
        </w:rPr>
        <w:t xml:space="preserve"> followed)</w:t>
      </w:r>
      <w:r w:rsidR="00865973" w:rsidRPr="004A15E1">
        <w:rPr>
          <w:u w:val="none"/>
        </w:rPr>
        <w:t xml:space="preserve">. </w:t>
      </w:r>
    </w:p>
    <w:p w:rsidR="005F75D3" w:rsidRPr="00240265" w:rsidRDefault="0052224A" w:rsidP="003540FB">
      <w:pPr>
        <w:pStyle w:val="CMFBText"/>
      </w:pPr>
      <w:r>
        <w:t xml:space="preserve"> </w:t>
      </w:r>
    </w:p>
    <w:p w:rsidR="0052224A" w:rsidRDefault="001A43C2" w:rsidP="003540FB">
      <w:pPr>
        <w:pStyle w:val="CMFBText"/>
      </w:pPr>
      <w:r>
        <w:t>P</w:t>
      </w:r>
      <w:r w:rsidR="0052224A" w:rsidRPr="0052224A">
        <w:t>ortfolio investment income is compiled on an accrual basis following the</w:t>
      </w:r>
      <w:r w:rsidR="00A70435">
        <w:t> </w:t>
      </w:r>
      <w:r w:rsidR="0052224A" w:rsidRPr="0052224A">
        <w:t>implementation of security-by-security (s-b-s) reporting (90% coverage of portfolio investment statistics) in all sectors except insurance companies. The current situation</w:t>
      </w:r>
      <w:r>
        <w:t>,</w:t>
      </w:r>
      <w:r w:rsidR="0052224A" w:rsidRPr="0052224A">
        <w:t xml:space="preserve"> which is not </w:t>
      </w:r>
      <w:r>
        <w:t>expected to</w:t>
      </w:r>
      <w:r w:rsidR="0052224A" w:rsidRPr="0052224A">
        <w:t xml:space="preserve"> change (after SOLVENCY II implementation)</w:t>
      </w:r>
      <w:r>
        <w:t>,</w:t>
      </w:r>
      <w:r w:rsidR="0052224A" w:rsidRPr="0052224A">
        <w:t xml:space="preserve"> is maintaining </w:t>
      </w:r>
      <w:r>
        <w:t xml:space="preserve">a </w:t>
      </w:r>
      <w:r w:rsidR="0052224A" w:rsidRPr="0052224A">
        <w:t xml:space="preserve">monthly aggregated report for insurance companies for </w:t>
      </w:r>
      <w:proofErr w:type="spellStart"/>
      <w:r w:rsidR="0052224A" w:rsidRPr="0052224A">
        <w:t>b.o.p</w:t>
      </w:r>
      <w:proofErr w:type="spellEnd"/>
      <w:r w:rsidR="0052224A" w:rsidRPr="0052224A">
        <w:t>./</w:t>
      </w:r>
      <w:proofErr w:type="spellStart"/>
      <w:r w:rsidR="0052224A" w:rsidRPr="0052224A">
        <w:t>i.i.p</w:t>
      </w:r>
      <w:proofErr w:type="spellEnd"/>
      <w:r w:rsidR="0052224A" w:rsidRPr="0052224A">
        <w:t xml:space="preserve">. purposes and using quarterly s-b-s reporting for insurance companies, for supervisory </w:t>
      </w:r>
      <w:r>
        <w:t xml:space="preserve">needs </w:t>
      </w:r>
      <w:r w:rsidR="0052224A" w:rsidRPr="0052224A">
        <w:t xml:space="preserve">and </w:t>
      </w:r>
      <w:r>
        <w:t>for s</w:t>
      </w:r>
      <w:r w:rsidR="0052224A" w:rsidRPr="0052224A">
        <w:t xml:space="preserve">ecurities </w:t>
      </w:r>
      <w:r>
        <w:t>h</w:t>
      </w:r>
      <w:r w:rsidR="0052224A" w:rsidRPr="0052224A">
        <w:t xml:space="preserve">oldings </w:t>
      </w:r>
      <w:r>
        <w:t>s</w:t>
      </w:r>
      <w:r w:rsidR="0052224A" w:rsidRPr="0052224A">
        <w:t>tatistics needs</w:t>
      </w:r>
      <w:r w:rsidR="0052224A">
        <w:t>.</w:t>
      </w:r>
    </w:p>
    <w:p w:rsidR="005F75D3" w:rsidRPr="00240265" w:rsidRDefault="0052224A" w:rsidP="003540FB">
      <w:pPr>
        <w:pStyle w:val="CMFBText"/>
      </w:pPr>
      <w:r>
        <w:t xml:space="preserve"> </w:t>
      </w:r>
    </w:p>
    <w:p w:rsidR="005F75D3" w:rsidRDefault="005F75D3" w:rsidP="003540FB">
      <w:pPr>
        <w:pStyle w:val="CMFBText"/>
      </w:pPr>
      <w:r w:rsidRPr="00240265">
        <w:t xml:space="preserve">MFI asset and liability transactions are </w:t>
      </w:r>
      <w:r w:rsidR="008B209C">
        <w:t xml:space="preserve">calculated </w:t>
      </w:r>
      <w:r w:rsidR="004B63F5">
        <w:t>according to</w:t>
      </w:r>
      <w:r w:rsidR="008B209C" w:rsidRPr="00240265">
        <w:t xml:space="preserve"> </w:t>
      </w:r>
      <w:r w:rsidR="008B209C">
        <w:t xml:space="preserve">changes in </w:t>
      </w:r>
      <w:r w:rsidRPr="00240265">
        <w:t xml:space="preserve">stocks </w:t>
      </w:r>
      <w:r w:rsidR="008B209C">
        <w:t xml:space="preserve">and </w:t>
      </w:r>
      <w:r w:rsidRPr="00240265">
        <w:t xml:space="preserve">exclude the exchange rate and other effects. </w:t>
      </w:r>
      <w:r w:rsidR="0052224A">
        <w:t xml:space="preserve"> </w:t>
      </w:r>
    </w:p>
    <w:p w:rsidR="008B209C" w:rsidRDefault="008B209C" w:rsidP="003540FB">
      <w:pPr>
        <w:pStyle w:val="CMFBText"/>
      </w:pPr>
    </w:p>
    <w:p w:rsidR="008B209C" w:rsidRPr="00240265" w:rsidRDefault="008B209C" w:rsidP="003540FB">
      <w:pPr>
        <w:pStyle w:val="CMFBText"/>
      </w:pPr>
      <w:r>
        <w:t>For other remaining sectors</w:t>
      </w:r>
      <w:r w:rsidR="001A43C2">
        <w:t>,</w:t>
      </w:r>
      <w:r>
        <w:t xml:space="preserve"> transactions are either derived from change</w:t>
      </w:r>
      <w:r w:rsidR="004B63F5">
        <w:t>s</w:t>
      </w:r>
      <w:r>
        <w:t xml:space="preserve"> </w:t>
      </w:r>
      <w:r w:rsidR="001A43C2">
        <w:t>in</w:t>
      </w:r>
      <w:r>
        <w:t xml:space="preserve"> stocks (technical reserves of insurance companies</w:t>
      </w:r>
      <w:r w:rsidR="00382920">
        <w:t>) or directly reported by statistically significant respondents (non</w:t>
      </w:r>
      <w:r w:rsidR="001A43C2">
        <w:t>-</w:t>
      </w:r>
      <w:r w:rsidR="00382920">
        <w:t xml:space="preserve">financial sectors). For transactions of </w:t>
      </w:r>
      <w:r w:rsidR="001A43C2">
        <w:t xml:space="preserve">the </w:t>
      </w:r>
      <w:r w:rsidR="00382920">
        <w:t>general government sector</w:t>
      </w:r>
      <w:r w:rsidR="001A43C2">
        <w:t>,</w:t>
      </w:r>
      <w:r w:rsidR="00382920">
        <w:t xml:space="preserve"> the use of</w:t>
      </w:r>
      <w:r w:rsidR="00EA3A65">
        <w:t> </w:t>
      </w:r>
      <w:r w:rsidR="00382920">
        <w:t xml:space="preserve">administrative data is essential. </w:t>
      </w:r>
    </w:p>
    <w:p w:rsidR="00E979B4" w:rsidRPr="00E979B4" w:rsidRDefault="00E979B4" w:rsidP="00E979B4">
      <w:pPr>
        <w:pStyle w:val="CMFBText"/>
        <w:rPr>
          <w:bCs/>
        </w:rPr>
      </w:pPr>
      <w:r w:rsidRPr="00E979B4">
        <w:rPr>
          <w:bCs/>
        </w:rPr>
        <w:t>Some (minor) deviations from the internationally accepted methodology persist in the Czech balance of payments statistics due to</w:t>
      </w:r>
      <w:r w:rsidR="00170720">
        <w:rPr>
          <w:bCs/>
        </w:rPr>
        <w:t xml:space="preserve"> </w:t>
      </w:r>
      <w:r w:rsidRPr="00E979B4">
        <w:rPr>
          <w:bCs/>
        </w:rPr>
        <w:t xml:space="preserve">practical challenges within the statistical collection framework. Such deviations are kept under review. </w:t>
      </w:r>
      <w:r w:rsidRPr="00E979B4">
        <w:rPr>
          <w:bCs/>
          <w:i/>
        </w:rPr>
        <w:t xml:space="preserve"> </w:t>
      </w:r>
    </w:p>
    <w:p w:rsidR="00D06FC4" w:rsidRPr="00240265" w:rsidRDefault="000F6C30" w:rsidP="003540FB">
      <w:pPr>
        <w:pStyle w:val="CMFBText"/>
      </w:pPr>
      <w:r>
        <w:t xml:space="preserve"> </w:t>
      </w:r>
    </w:p>
    <w:p w:rsidR="00C60846" w:rsidRDefault="00C60846">
      <w:pPr>
        <w:pStyle w:val="Nadpis3"/>
        <w:ind w:left="709" w:hanging="709"/>
        <w:rPr>
          <w:i/>
          <w:u w:val="none"/>
        </w:rPr>
      </w:pPr>
      <w:r>
        <w:rPr>
          <w:i/>
          <w:u w:val="none"/>
        </w:rPr>
        <w:t>Time of recording</w:t>
      </w:r>
      <w:r w:rsidR="00DD47E3">
        <w:rPr>
          <w:i/>
          <w:u w:val="none"/>
        </w:rPr>
        <w:t xml:space="preserve"> </w:t>
      </w:r>
      <w:r w:rsidR="00DD47E3" w:rsidRPr="00A323BF">
        <w:rPr>
          <w:i/>
          <w:u w:val="none"/>
        </w:rPr>
        <w:t xml:space="preserve">(accrual accounting) </w:t>
      </w:r>
    </w:p>
    <w:p w:rsidR="00C60846" w:rsidRPr="0045698F" w:rsidRDefault="00C60846" w:rsidP="00FC223E">
      <w:pPr>
        <w:rPr>
          <w:rFonts w:ascii="Times New Roman" w:hAnsi="Times New Roman"/>
          <w:sz w:val="24"/>
          <w:szCs w:val="24"/>
        </w:rPr>
      </w:pPr>
      <w:r w:rsidRPr="00FC223E">
        <w:rPr>
          <w:rFonts w:ascii="Times New Roman" w:hAnsi="Times New Roman"/>
          <w:sz w:val="24"/>
          <w:szCs w:val="24"/>
        </w:rPr>
        <w:t xml:space="preserve">Interest income is </w:t>
      </w:r>
      <w:r>
        <w:rPr>
          <w:rFonts w:ascii="Times New Roman" w:hAnsi="Times New Roman"/>
          <w:sz w:val="24"/>
          <w:szCs w:val="24"/>
        </w:rPr>
        <w:t xml:space="preserve">recorded </w:t>
      </w:r>
      <w:r w:rsidR="00D06FC4">
        <w:rPr>
          <w:rFonts w:ascii="Times New Roman" w:hAnsi="Times New Roman"/>
          <w:sz w:val="24"/>
          <w:szCs w:val="24"/>
        </w:rPr>
        <w:t xml:space="preserve">predominantly </w:t>
      </w:r>
      <w:r>
        <w:rPr>
          <w:rFonts w:ascii="Times New Roman" w:hAnsi="Times New Roman"/>
          <w:sz w:val="24"/>
          <w:szCs w:val="24"/>
        </w:rPr>
        <w:t>on an accrual basis.</w:t>
      </w:r>
      <w:r w:rsidR="00601B9A">
        <w:rPr>
          <w:rFonts w:ascii="Times New Roman" w:hAnsi="Times New Roman"/>
          <w:sz w:val="24"/>
          <w:szCs w:val="24"/>
        </w:rPr>
        <w:t xml:space="preserve"> </w:t>
      </w:r>
      <w:r w:rsidR="001A43C2">
        <w:rPr>
          <w:rFonts w:ascii="Times New Roman" w:hAnsi="Times New Roman"/>
          <w:sz w:val="24"/>
          <w:szCs w:val="24"/>
        </w:rPr>
        <w:t>I</w:t>
      </w:r>
      <w:r w:rsidR="00382920">
        <w:rPr>
          <w:rFonts w:ascii="Times New Roman" w:hAnsi="Times New Roman"/>
          <w:sz w:val="24"/>
          <w:szCs w:val="24"/>
        </w:rPr>
        <w:t xml:space="preserve">nterest income is adjusted </w:t>
      </w:r>
      <w:r w:rsidR="001A43C2">
        <w:rPr>
          <w:rFonts w:ascii="Times New Roman" w:hAnsi="Times New Roman"/>
          <w:sz w:val="24"/>
          <w:szCs w:val="24"/>
        </w:rPr>
        <w:t>for</w:t>
      </w:r>
      <w:r w:rsidR="00382920">
        <w:rPr>
          <w:rFonts w:ascii="Times New Roman" w:hAnsi="Times New Roman"/>
          <w:sz w:val="24"/>
          <w:szCs w:val="24"/>
        </w:rPr>
        <w:t xml:space="preserve"> </w:t>
      </w:r>
      <w:r w:rsidR="001A43C2">
        <w:rPr>
          <w:rFonts w:ascii="Times New Roman" w:hAnsi="Times New Roman"/>
          <w:sz w:val="24"/>
          <w:szCs w:val="24"/>
        </w:rPr>
        <w:t xml:space="preserve">FISIM </w:t>
      </w:r>
      <w:r w:rsidR="00382920">
        <w:rPr>
          <w:rFonts w:ascii="Times New Roman" w:hAnsi="Times New Roman"/>
          <w:sz w:val="24"/>
          <w:szCs w:val="24"/>
        </w:rPr>
        <w:t>export</w:t>
      </w:r>
      <w:r w:rsidR="001A43C2">
        <w:rPr>
          <w:rFonts w:ascii="Times New Roman" w:hAnsi="Times New Roman"/>
          <w:sz w:val="24"/>
          <w:szCs w:val="24"/>
        </w:rPr>
        <w:t>s</w:t>
      </w:r>
      <w:r w:rsidR="00382920">
        <w:rPr>
          <w:rFonts w:ascii="Times New Roman" w:hAnsi="Times New Roman"/>
          <w:sz w:val="24"/>
          <w:szCs w:val="24"/>
        </w:rPr>
        <w:t xml:space="preserve"> and import</w:t>
      </w:r>
      <w:r w:rsidR="001A43C2">
        <w:rPr>
          <w:rFonts w:ascii="Times New Roman" w:hAnsi="Times New Roman"/>
          <w:sz w:val="24"/>
          <w:szCs w:val="24"/>
        </w:rPr>
        <w:t>s</w:t>
      </w:r>
      <w:r w:rsidR="00382920">
        <w:rPr>
          <w:rFonts w:ascii="Times New Roman" w:hAnsi="Times New Roman"/>
          <w:sz w:val="24"/>
          <w:szCs w:val="24"/>
        </w:rPr>
        <w:t xml:space="preserve"> where relevant.</w:t>
      </w:r>
      <w:r w:rsidR="00DE6227" w:rsidRPr="00DE6227">
        <w:t xml:space="preserve"> </w:t>
      </w:r>
      <w:r w:rsidR="00DE6227" w:rsidRPr="00DE6227">
        <w:rPr>
          <w:rFonts w:ascii="Times New Roman" w:hAnsi="Times New Roman"/>
          <w:sz w:val="24"/>
          <w:szCs w:val="24"/>
        </w:rPr>
        <w:t>Dividends are recorded frequently when paid rather than on an accrual basis.</w:t>
      </w:r>
    </w:p>
    <w:p w:rsidR="00C60846" w:rsidRDefault="00C60846" w:rsidP="00C60846">
      <w:pPr>
        <w:pStyle w:val="Nadpis3"/>
        <w:ind w:left="709" w:hanging="709"/>
        <w:rPr>
          <w:i/>
          <w:u w:val="none"/>
        </w:rPr>
      </w:pPr>
      <w:r>
        <w:rPr>
          <w:i/>
          <w:u w:val="none"/>
        </w:rPr>
        <w:t>Coverage gaps</w:t>
      </w:r>
      <w:r w:rsidR="00DD47E3">
        <w:rPr>
          <w:i/>
          <w:u w:val="none"/>
        </w:rPr>
        <w:t xml:space="preserve"> &amp; deviations</w:t>
      </w:r>
    </w:p>
    <w:p w:rsidR="00C60846" w:rsidRDefault="00C60846" w:rsidP="00FC223E">
      <w:pPr>
        <w:pStyle w:val="Nadpis4"/>
        <w:numPr>
          <w:ilvl w:val="3"/>
          <w:numId w:val="44"/>
        </w:numPr>
        <w:spacing w:before="240" w:after="240" w:line="240" w:lineRule="auto"/>
        <w:rPr>
          <w:i w:val="0"/>
        </w:rPr>
      </w:pPr>
      <w:r w:rsidRPr="00FC223E">
        <w:rPr>
          <w:i w:val="0"/>
        </w:rPr>
        <w:t>Current and capital account:</w:t>
      </w:r>
    </w:p>
    <w:p w:rsidR="00382DAC" w:rsidRDefault="00C60846" w:rsidP="00F47FBE">
      <w:pPr>
        <w:pStyle w:val="CMFBtextintable"/>
      </w:pPr>
      <w:r>
        <w:t xml:space="preserve">Goods </w:t>
      </w:r>
      <w:r w:rsidR="001A43C2">
        <w:t xml:space="preserve">of </w:t>
      </w:r>
      <w:r w:rsidR="00F47FBE">
        <w:t>non-resident companies registered in the Czech Republic for VAT payments only are excluded from export</w:t>
      </w:r>
      <w:r w:rsidR="001A43C2">
        <w:t>s</w:t>
      </w:r>
      <w:r w:rsidR="00F47FBE">
        <w:t xml:space="preserve"> and import</w:t>
      </w:r>
      <w:r w:rsidR="001A43C2">
        <w:t>s</w:t>
      </w:r>
      <w:r w:rsidR="00F47FBE">
        <w:t xml:space="preserve"> of goods (IMTS data) for </w:t>
      </w:r>
      <w:r w:rsidR="001A43C2">
        <w:t xml:space="preserve">the </w:t>
      </w:r>
      <w:r w:rsidR="00F47FBE">
        <w:t xml:space="preserve">compilation of </w:t>
      </w:r>
      <w:r w:rsidR="001A43C2">
        <w:t>the</w:t>
      </w:r>
      <w:r w:rsidR="00EA3A65">
        <w:t> </w:t>
      </w:r>
      <w:r w:rsidR="00F47FBE">
        <w:t xml:space="preserve">national </w:t>
      </w:r>
      <w:proofErr w:type="spellStart"/>
      <w:r w:rsidR="00F47FBE">
        <w:t>BoP</w:t>
      </w:r>
      <w:proofErr w:type="spellEnd"/>
      <w:r w:rsidR="001A43C2">
        <w:t>,</w:t>
      </w:r>
      <w:r w:rsidR="00F47FBE">
        <w:t xml:space="preserve"> provide</w:t>
      </w:r>
      <w:r w:rsidR="00E979B4">
        <w:t>d</w:t>
      </w:r>
      <w:r w:rsidR="00F47FBE">
        <w:t xml:space="preserve"> to the ECB, Eurostat and the IMF. </w:t>
      </w:r>
      <w:r w:rsidR="00781103">
        <w:t xml:space="preserve">So </w:t>
      </w:r>
      <w:r w:rsidR="001A43C2">
        <w:t xml:space="preserve">the </w:t>
      </w:r>
      <w:r w:rsidR="00781103">
        <w:t>residency concept is followed in the goods</w:t>
      </w:r>
      <w:r w:rsidR="001A43C2">
        <w:t xml:space="preserve"> item</w:t>
      </w:r>
      <w:r w:rsidR="00781103">
        <w:t>.</w:t>
      </w:r>
    </w:p>
    <w:p w:rsidR="00382DAC" w:rsidRDefault="00382DAC" w:rsidP="00F47FBE">
      <w:pPr>
        <w:pStyle w:val="CMFBtextintable"/>
      </w:pPr>
      <w:r w:rsidRPr="00204960">
        <w:lastRenderedPageBreak/>
        <w:t xml:space="preserve">In </w:t>
      </w:r>
      <w:r w:rsidR="00204960">
        <w:t xml:space="preserve">the </w:t>
      </w:r>
      <w:r w:rsidRPr="00204960">
        <w:t>services balance</w:t>
      </w:r>
      <w:r w:rsidR="00204960">
        <w:t>,</w:t>
      </w:r>
      <w:r w:rsidRPr="00204960">
        <w:t xml:space="preserve"> </w:t>
      </w:r>
      <w:r w:rsidR="00891637">
        <w:t xml:space="preserve">item passenger transport payable </w:t>
      </w:r>
      <w:r w:rsidRPr="00204960">
        <w:t>by border, seasonal and other short-term workers is not estimated</w:t>
      </w:r>
      <w:r w:rsidR="00120AFF">
        <w:t xml:space="preserve"> as separate item</w:t>
      </w:r>
      <w:r w:rsidR="00204960" w:rsidRPr="00204960">
        <w:t>.</w:t>
      </w:r>
      <w:r w:rsidRPr="00204960">
        <w:t xml:space="preserve">  </w:t>
      </w:r>
      <w:r w:rsidR="00891637">
        <w:t>T</w:t>
      </w:r>
      <w:r w:rsidRPr="00204960">
        <w:t>otal services transactions between related enterprises</w:t>
      </w:r>
      <w:r w:rsidR="00891637">
        <w:t xml:space="preserve"> </w:t>
      </w:r>
      <w:r w:rsidR="00DE6227">
        <w:t>are</w:t>
      </w:r>
      <w:r w:rsidR="00891637">
        <w:t xml:space="preserve"> </w:t>
      </w:r>
      <w:r w:rsidR="007A2662">
        <w:t xml:space="preserve">also </w:t>
      </w:r>
      <w:r w:rsidR="00891637">
        <w:t>not estimated</w:t>
      </w:r>
      <w:r w:rsidR="007A2662">
        <w:t xml:space="preserve"> because of a lack of information on nature of counterparty ownership.</w:t>
      </w:r>
      <w:r>
        <w:t xml:space="preserve"> </w:t>
      </w:r>
    </w:p>
    <w:p w:rsidR="00120AFF" w:rsidRDefault="00F47FBE" w:rsidP="00F47FBE">
      <w:pPr>
        <w:pStyle w:val="CMFBtextintable"/>
      </w:pPr>
      <w:r>
        <w:t xml:space="preserve">Compensation received by </w:t>
      </w:r>
      <w:r w:rsidR="00981DBC">
        <w:t>residents of the Czech</w:t>
      </w:r>
      <w:r>
        <w:t xml:space="preserve"> economy employed </w:t>
      </w:r>
      <w:r w:rsidR="00170720">
        <w:t xml:space="preserve">by </w:t>
      </w:r>
      <w:r>
        <w:t xml:space="preserve">international organisations and foreign embassies </w:t>
      </w:r>
      <w:r w:rsidR="00981DBC">
        <w:t>is</w:t>
      </w:r>
      <w:r>
        <w:t xml:space="preserve"> not estimated. </w:t>
      </w:r>
    </w:p>
    <w:p w:rsidR="00C60846" w:rsidRDefault="00AA309C" w:rsidP="00F47FBE">
      <w:pPr>
        <w:pStyle w:val="CMFBtextintable"/>
      </w:pPr>
      <w:r>
        <w:t xml:space="preserve">Rents and Adjustment for change in pension entitlements are not being estimated, because of </w:t>
      </w:r>
      <w:r w:rsidR="005E7F86">
        <w:t xml:space="preserve">the </w:t>
      </w:r>
      <w:r>
        <w:t>lack of data sources.</w:t>
      </w:r>
    </w:p>
    <w:p w:rsidR="00AA309C" w:rsidRDefault="00AA309C" w:rsidP="00F47FBE">
      <w:pPr>
        <w:pStyle w:val="CMFBtextintable"/>
      </w:pPr>
      <w:r>
        <w:t xml:space="preserve">Capital taxes are currently </w:t>
      </w:r>
      <w:r w:rsidR="005E7F86">
        <w:t xml:space="preserve">estimated </w:t>
      </w:r>
      <w:r>
        <w:t xml:space="preserve">due to the legislative changes </w:t>
      </w:r>
      <w:r w:rsidR="005E7F86">
        <w:t xml:space="preserve">under </w:t>
      </w:r>
      <w:r>
        <w:t>Current taxes on income,</w:t>
      </w:r>
      <w:r w:rsidR="005E7F86">
        <w:t xml:space="preserve"> </w:t>
      </w:r>
      <w:r>
        <w:t xml:space="preserve">wealth etc., therefore </w:t>
      </w:r>
      <w:r w:rsidR="00690EE1">
        <w:t xml:space="preserve">are </w:t>
      </w:r>
      <w:r w:rsidR="00BA733D">
        <w:t>not estimated</w:t>
      </w:r>
      <w:r w:rsidR="00440D25">
        <w:t xml:space="preserve"> </w:t>
      </w:r>
      <w:r w:rsidR="0050583E">
        <w:t xml:space="preserve">and presented </w:t>
      </w:r>
      <w:r w:rsidR="00440D25">
        <w:t>as</w:t>
      </w:r>
      <w:r w:rsidR="00690EE1">
        <w:t xml:space="preserve"> separate items</w:t>
      </w:r>
      <w:r w:rsidR="005E7F86">
        <w:t xml:space="preserve">. </w:t>
      </w:r>
    </w:p>
    <w:p w:rsidR="00C60846" w:rsidRPr="00D82236" w:rsidRDefault="00C60846" w:rsidP="00FC223E">
      <w:pPr>
        <w:pStyle w:val="Nadpis4"/>
        <w:numPr>
          <w:ilvl w:val="3"/>
          <w:numId w:val="44"/>
        </w:numPr>
        <w:spacing w:before="240" w:after="240" w:line="240" w:lineRule="auto"/>
      </w:pPr>
      <w:r w:rsidRPr="00FC223E">
        <w:rPr>
          <w:i w:val="0"/>
        </w:rPr>
        <w:t>Financial account</w:t>
      </w:r>
    </w:p>
    <w:p w:rsidR="00382DAC" w:rsidRDefault="00C60846" w:rsidP="00C60846">
      <w:pPr>
        <w:pStyle w:val="CMFBText"/>
      </w:pPr>
      <w:r w:rsidRPr="00240265">
        <w:t xml:space="preserve">With regard to portfolio investment, </w:t>
      </w:r>
      <w:r w:rsidR="00981DBC">
        <w:t>most</w:t>
      </w:r>
      <w:r w:rsidR="00D92E56">
        <w:t xml:space="preserve"> </w:t>
      </w:r>
      <w:r w:rsidRPr="00240265">
        <w:t>transaction</w:t>
      </w:r>
      <w:r w:rsidR="00D92E56">
        <w:t xml:space="preserve">s are </w:t>
      </w:r>
      <w:r w:rsidR="001F7AC9">
        <w:t>derived</w:t>
      </w:r>
      <w:r w:rsidR="00D92E56">
        <w:t xml:space="preserve"> from s-b-s reporting and </w:t>
      </w:r>
      <w:r w:rsidR="00981DBC">
        <w:t xml:space="preserve">a </w:t>
      </w:r>
      <w:r w:rsidR="00D92E56">
        <w:t xml:space="preserve">minority </w:t>
      </w:r>
      <w:r w:rsidR="00981DBC">
        <w:t xml:space="preserve">of transactions </w:t>
      </w:r>
      <w:r w:rsidR="00D92E56">
        <w:t>from aggregated reporting (insurance companies</w:t>
      </w:r>
      <w:r w:rsidR="00E979B4">
        <w:t>,</w:t>
      </w:r>
      <w:r w:rsidR="001F7AC9">
        <w:t xml:space="preserve"> please see </w:t>
      </w:r>
      <w:r w:rsidR="000F6C30">
        <w:t>2.1.4</w:t>
      </w:r>
      <w:r w:rsidR="00D92E56">
        <w:t>)</w:t>
      </w:r>
      <w:r w:rsidR="00382DAC">
        <w:t xml:space="preserve">. </w:t>
      </w:r>
    </w:p>
    <w:p w:rsidR="002420DF" w:rsidRDefault="00382DAC" w:rsidP="00C60846">
      <w:pPr>
        <w:pStyle w:val="CMFBText"/>
      </w:pPr>
      <w:r>
        <w:t xml:space="preserve">Pension and standardised guarantee schemes </w:t>
      </w:r>
      <w:r w:rsidR="008D68CA">
        <w:t xml:space="preserve">(flows and stocks) </w:t>
      </w:r>
      <w:r>
        <w:t xml:space="preserve">have not been calculated yet and are </w:t>
      </w:r>
      <w:r w:rsidR="00981DBC">
        <w:t>being</w:t>
      </w:r>
      <w:r>
        <w:t xml:space="preserve"> test</w:t>
      </w:r>
      <w:r w:rsidR="00981DBC">
        <w:t>ed</w:t>
      </w:r>
      <w:r>
        <w:t xml:space="preserve"> </w:t>
      </w:r>
      <w:r w:rsidR="00981DBC">
        <w:t>for</w:t>
      </w:r>
      <w:r w:rsidR="008D68CA">
        <w:t xml:space="preserve"> statistical significan</w:t>
      </w:r>
      <w:r w:rsidR="00981DBC">
        <w:t>ce</w:t>
      </w:r>
      <w:r w:rsidR="008D68CA">
        <w:t xml:space="preserve">. </w:t>
      </w:r>
    </w:p>
    <w:p w:rsidR="00C60846" w:rsidRPr="00240265" w:rsidRDefault="002420DF" w:rsidP="00C60846">
      <w:pPr>
        <w:pStyle w:val="CMFBText"/>
      </w:pPr>
      <w:r>
        <w:t>SPE</w:t>
      </w:r>
      <w:r w:rsidR="00690EE1">
        <w:t>´s</w:t>
      </w:r>
      <w:r>
        <w:t xml:space="preserve"> </w:t>
      </w:r>
      <w:r w:rsidR="00690EE1">
        <w:t xml:space="preserve">have not been </w:t>
      </w:r>
      <w:r>
        <w:t xml:space="preserve">identified </w:t>
      </w:r>
      <w:r w:rsidR="00690EE1">
        <w:t xml:space="preserve">yet </w:t>
      </w:r>
      <w:r>
        <w:t xml:space="preserve">in the case of the Czech </w:t>
      </w:r>
      <w:r w:rsidR="00690EE1">
        <w:t>Republic</w:t>
      </w:r>
      <w:r>
        <w:t xml:space="preserve">. </w:t>
      </w:r>
      <w:r w:rsidR="00690EE1">
        <w:t xml:space="preserve"> </w:t>
      </w:r>
    </w:p>
    <w:p w:rsidR="00C60846" w:rsidRPr="00240265" w:rsidRDefault="00604642" w:rsidP="00C60846">
      <w:pPr>
        <w:pStyle w:val="CMFBText"/>
      </w:pPr>
      <w:r>
        <w:t xml:space="preserve"> </w:t>
      </w:r>
    </w:p>
    <w:p w:rsidR="00C60846" w:rsidRPr="00D82236" w:rsidRDefault="00C60846" w:rsidP="00FC223E">
      <w:pPr>
        <w:pStyle w:val="Nadpis4"/>
        <w:numPr>
          <w:ilvl w:val="3"/>
          <w:numId w:val="44"/>
        </w:numPr>
        <w:spacing w:before="240" w:after="240" w:line="240" w:lineRule="auto"/>
      </w:pPr>
      <w:r>
        <w:rPr>
          <w:i w:val="0"/>
        </w:rPr>
        <w:t>International investment position</w:t>
      </w:r>
    </w:p>
    <w:p w:rsidR="00C60846" w:rsidRPr="00240265" w:rsidRDefault="005F75D3" w:rsidP="003540FB">
      <w:pPr>
        <w:pStyle w:val="CMFBText"/>
      </w:pPr>
      <w:r w:rsidRPr="00C60846">
        <w:t xml:space="preserve">Reporting gaps exist for the portfolio </w:t>
      </w:r>
      <w:r w:rsidR="00604642">
        <w:t xml:space="preserve">and account </w:t>
      </w:r>
      <w:r w:rsidRPr="00C60846">
        <w:t>transactions (and positions) of resident individuals with banks</w:t>
      </w:r>
      <w:r w:rsidR="00CC680F">
        <w:t xml:space="preserve"> (o</w:t>
      </w:r>
      <w:r w:rsidR="000F6C30">
        <w:t>r</w:t>
      </w:r>
      <w:r w:rsidR="00CC680F">
        <w:t xml:space="preserve"> in custody) </w:t>
      </w:r>
      <w:r w:rsidRPr="00C60846">
        <w:t>abroad.</w:t>
      </w:r>
      <w:r w:rsidR="002874F0">
        <w:t xml:space="preserve"> </w:t>
      </w:r>
      <w:r w:rsidR="007D2C17">
        <w:t>The p</w:t>
      </w:r>
      <w:r w:rsidR="002874F0">
        <w:t>ositions</w:t>
      </w:r>
      <w:r w:rsidR="00712EB6">
        <w:t xml:space="preserve"> and transactions of other financial </w:t>
      </w:r>
      <w:r w:rsidR="00DE7027" w:rsidRPr="00DE7027">
        <w:t>intermediaries, except insurance corporations and pension funds</w:t>
      </w:r>
      <w:r w:rsidR="007D2C17">
        <w:t>,</w:t>
      </w:r>
      <w:r w:rsidR="002874F0">
        <w:t xml:space="preserve"> in financial derivatives are not covered, because the</w:t>
      </w:r>
      <w:r w:rsidR="00477099">
        <w:t>y</w:t>
      </w:r>
      <w:r w:rsidR="002874F0">
        <w:t xml:space="preserve"> are not significant.   </w:t>
      </w:r>
    </w:p>
    <w:p w:rsidR="005F75D3" w:rsidRPr="00363083" w:rsidRDefault="005F75D3" w:rsidP="00FC223E">
      <w:pPr>
        <w:pStyle w:val="Nadpis2"/>
        <w:ind w:hanging="709"/>
        <w:rPr>
          <w:b/>
          <w:lang w:val="it-IT"/>
        </w:rPr>
      </w:pPr>
      <w:r w:rsidRPr="00363083">
        <w:rPr>
          <w:b/>
          <w:lang w:val="it-IT"/>
        </w:rPr>
        <w:t>CoP8 Appropriate Statistical procedures / PC8 Appropriate Statistical procedures</w:t>
      </w:r>
    </w:p>
    <w:p w:rsidR="00C60846" w:rsidRPr="00FC223E" w:rsidRDefault="00C60846" w:rsidP="00FC223E">
      <w:pPr>
        <w:pStyle w:val="Nadpis3"/>
        <w:ind w:left="709" w:hanging="709"/>
        <w:rPr>
          <w:i/>
          <w:u w:val="none"/>
        </w:rPr>
      </w:pPr>
      <w:r>
        <w:rPr>
          <w:i/>
          <w:u w:val="none"/>
        </w:rPr>
        <w:t>Main features</w:t>
      </w:r>
    </w:p>
    <w:p w:rsidR="005F75D3" w:rsidRPr="00D82236" w:rsidRDefault="005F75D3" w:rsidP="00FC223E">
      <w:pPr>
        <w:pStyle w:val="Nadpis4"/>
        <w:numPr>
          <w:ilvl w:val="3"/>
          <w:numId w:val="53"/>
        </w:numPr>
        <w:spacing w:before="240" w:after="240" w:line="240" w:lineRule="auto"/>
      </w:pPr>
      <w:r w:rsidRPr="00FC223E">
        <w:rPr>
          <w:i w:val="0"/>
        </w:rPr>
        <w:t>Balance of payments</w:t>
      </w:r>
    </w:p>
    <w:p w:rsidR="0005170C" w:rsidRDefault="005F75D3" w:rsidP="003540FB">
      <w:pPr>
        <w:pStyle w:val="CMFBText"/>
      </w:pPr>
      <w:r w:rsidRPr="00240265">
        <w:t xml:space="preserve">The </w:t>
      </w:r>
      <w:r w:rsidR="002A0D32">
        <w:t>Czech Republic</w:t>
      </w:r>
      <w:r w:rsidR="007D2C17">
        <w:t>’s</w:t>
      </w:r>
      <w:r w:rsidRPr="00240265">
        <w:t xml:space="preserve"> data collection system </w:t>
      </w:r>
      <w:r w:rsidR="002A0D32">
        <w:t xml:space="preserve">is based on </w:t>
      </w:r>
      <w:r w:rsidRPr="00240265">
        <w:t xml:space="preserve">a </w:t>
      </w:r>
      <w:r w:rsidR="00977A00">
        <w:t>d</w:t>
      </w:r>
      <w:r w:rsidRPr="00240265">
        <w:t xml:space="preserve">irect </w:t>
      </w:r>
      <w:r w:rsidR="00977A00">
        <w:t>r</w:t>
      </w:r>
      <w:r w:rsidRPr="00240265">
        <w:t xml:space="preserve">eporting </w:t>
      </w:r>
      <w:r w:rsidR="00977A00">
        <w:t>s</w:t>
      </w:r>
      <w:r w:rsidRPr="00240265">
        <w:t>ystem</w:t>
      </w:r>
      <w:r w:rsidR="002A0D32">
        <w:t xml:space="preserve"> </w:t>
      </w:r>
      <w:r w:rsidR="00977A00">
        <w:t>involving</w:t>
      </w:r>
      <w:r w:rsidRPr="00240265">
        <w:t xml:space="preserve"> resident financial and non-financial enterprises</w:t>
      </w:r>
      <w:r w:rsidR="000D67B3">
        <w:t xml:space="preserve"> and public authorities. </w:t>
      </w:r>
      <w:r w:rsidRPr="00240265">
        <w:t>The monthly</w:t>
      </w:r>
      <w:r w:rsidR="000F6C30">
        <w:t xml:space="preserve"> and </w:t>
      </w:r>
      <w:r w:rsidR="007A2A23">
        <w:t>quarterly</w:t>
      </w:r>
      <w:r w:rsidRPr="00240265">
        <w:t xml:space="preserve"> information </w:t>
      </w:r>
      <w:r w:rsidR="00977A00">
        <w:t>is</w:t>
      </w:r>
      <w:r w:rsidR="00C3480C">
        <w:t xml:space="preserve"> </w:t>
      </w:r>
      <w:r w:rsidRPr="00240265">
        <w:t>collected through the direct reporting system</w:t>
      </w:r>
      <w:r w:rsidR="00C3480C">
        <w:t xml:space="preserve"> and</w:t>
      </w:r>
      <w:r w:rsidRPr="00240265">
        <w:t xml:space="preserve"> complemented by other sources: </w:t>
      </w:r>
    </w:p>
    <w:p w:rsidR="0005170C" w:rsidRDefault="005F75D3" w:rsidP="00EA3A65">
      <w:pPr>
        <w:pStyle w:val="CMFBText"/>
        <w:numPr>
          <w:ilvl w:val="0"/>
          <w:numId w:val="111"/>
        </w:numPr>
      </w:pPr>
      <w:r w:rsidRPr="00240265">
        <w:t xml:space="preserve">monthly foreign trade statistics compiled by the </w:t>
      </w:r>
      <w:r w:rsidR="002A0D32">
        <w:t xml:space="preserve">Czech </w:t>
      </w:r>
      <w:r w:rsidRPr="00240265">
        <w:t>Statistical Office (</w:t>
      </w:r>
      <w:r w:rsidR="002A0D32">
        <w:t>CZ</w:t>
      </w:r>
      <w:r w:rsidRPr="00240265">
        <w:t>SO) for merchandise data</w:t>
      </w:r>
      <w:r w:rsidR="002A0D32">
        <w:t xml:space="preserve"> based on </w:t>
      </w:r>
      <w:r w:rsidR="00977A00">
        <w:t>n</w:t>
      </w:r>
      <w:r w:rsidR="002A0D32">
        <w:t>ational and Community principles</w:t>
      </w:r>
      <w:r w:rsidRPr="00240265">
        <w:t xml:space="preserve">; </w:t>
      </w:r>
    </w:p>
    <w:p w:rsidR="0005170C" w:rsidRDefault="00977A00" w:rsidP="00EA3A65">
      <w:pPr>
        <w:pStyle w:val="CMFBText"/>
        <w:numPr>
          <w:ilvl w:val="0"/>
          <w:numId w:val="111"/>
        </w:numPr>
      </w:pPr>
      <w:r>
        <w:t xml:space="preserve">a </w:t>
      </w:r>
      <w:r w:rsidR="00BE09BF">
        <w:t xml:space="preserve">quarterly survey on services </w:t>
      </w:r>
      <w:r w:rsidR="00E9321F">
        <w:t xml:space="preserve">and specific operations with goods </w:t>
      </w:r>
      <w:r>
        <w:t>conducted</w:t>
      </w:r>
      <w:r w:rsidR="009E4B5A">
        <w:t xml:space="preserve"> by the</w:t>
      </w:r>
      <w:r w:rsidR="00EA3A65">
        <w:t> </w:t>
      </w:r>
      <w:r w:rsidR="009E4B5A">
        <w:t xml:space="preserve">CZSO; </w:t>
      </w:r>
    </w:p>
    <w:p w:rsidR="0005170C" w:rsidRDefault="005F75D3" w:rsidP="00EA3A65">
      <w:pPr>
        <w:pStyle w:val="CMFBText"/>
        <w:numPr>
          <w:ilvl w:val="0"/>
          <w:numId w:val="109"/>
        </w:numPr>
      </w:pPr>
      <w:r w:rsidRPr="00240265">
        <w:t xml:space="preserve">monthly reports to the </w:t>
      </w:r>
      <w:r w:rsidR="002A0D32">
        <w:t>Czech National Bank</w:t>
      </w:r>
      <w:r w:rsidRPr="00240265">
        <w:t xml:space="preserve"> on the external positions of banks and non-banks for deriving short-term </w:t>
      </w:r>
      <w:r w:rsidR="002A0D32">
        <w:t>and long</w:t>
      </w:r>
      <w:r w:rsidR="00170720">
        <w:t>-</w:t>
      </w:r>
      <w:r w:rsidR="002A0D32">
        <w:t xml:space="preserve">term </w:t>
      </w:r>
      <w:r w:rsidRPr="00240265">
        <w:t xml:space="preserve">items; </w:t>
      </w:r>
    </w:p>
    <w:p w:rsidR="0005170C" w:rsidRDefault="00E979B4" w:rsidP="00EA3A65">
      <w:pPr>
        <w:pStyle w:val="CMFBText"/>
        <w:numPr>
          <w:ilvl w:val="0"/>
          <w:numId w:val="109"/>
        </w:numPr>
      </w:pPr>
      <w:r>
        <w:t xml:space="preserve">the </w:t>
      </w:r>
      <w:r w:rsidR="00BE09BF">
        <w:t xml:space="preserve">Czech </w:t>
      </w:r>
      <w:r w:rsidR="0087034C">
        <w:t>N</w:t>
      </w:r>
      <w:r w:rsidR="00BE09BF">
        <w:t>ational Bank</w:t>
      </w:r>
      <w:r w:rsidR="00977A00">
        <w:t>’s</w:t>
      </w:r>
      <w:r w:rsidR="00BE09BF">
        <w:t xml:space="preserve"> </w:t>
      </w:r>
      <w:r w:rsidR="005F75D3" w:rsidRPr="00240265">
        <w:t xml:space="preserve">reserve </w:t>
      </w:r>
      <w:r w:rsidR="00BE09BF">
        <w:t>and other assets</w:t>
      </w:r>
      <w:r w:rsidR="005F75D3" w:rsidRPr="00240265">
        <w:t xml:space="preserve">; </w:t>
      </w:r>
    </w:p>
    <w:p w:rsidR="0005170C" w:rsidRDefault="00977A00" w:rsidP="00EA3A65">
      <w:pPr>
        <w:pStyle w:val="CMFBText"/>
        <w:numPr>
          <w:ilvl w:val="0"/>
          <w:numId w:val="109"/>
        </w:numPr>
      </w:pPr>
      <w:r>
        <w:lastRenderedPageBreak/>
        <w:t>data from a</w:t>
      </w:r>
      <w:r w:rsidR="000F6C30">
        <w:t xml:space="preserve"> CNB </w:t>
      </w:r>
      <w:r w:rsidR="005F75D3" w:rsidRPr="00240265">
        <w:t xml:space="preserve">survey </w:t>
      </w:r>
      <w:r w:rsidR="00BE09BF">
        <w:t xml:space="preserve"> </w:t>
      </w:r>
      <w:r>
        <w:t xml:space="preserve">of </w:t>
      </w:r>
      <w:r w:rsidR="00BE09BF">
        <w:t xml:space="preserve">non-bank and bank </w:t>
      </w:r>
      <w:r w:rsidR="00291763">
        <w:t>bureaux de change</w:t>
      </w:r>
      <w:r w:rsidR="005F75D3" w:rsidRPr="00240265">
        <w:t xml:space="preserve"> for the travel item (</w:t>
      </w:r>
      <w:r w:rsidR="00BE09BF">
        <w:t>credit</w:t>
      </w:r>
      <w:r>
        <w:t>s</w:t>
      </w:r>
      <w:r w:rsidR="00BE09BF">
        <w:t xml:space="preserve"> and </w:t>
      </w:r>
      <w:r w:rsidR="005F75D3" w:rsidRPr="00240265">
        <w:t>debit</w:t>
      </w:r>
      <w:r>
        <w:t>s</w:t>
      </w:r>
      <w:r w:rsidR="005F75D3" w:rsidRPr="00240265">
        <w:t xml:space="preserve">); </w:t>
      </w:r>
    </w:p>
    <w:p w:rsidR="0005170C" w:rsidRDefault="00977A00" w:rsidP="00EA3A65">
      <w:pPr>
        <w:pStyle w:val="CMFBText"/>
        <w:numPr>
          <w:ilvl w:val="0"/>
          <w:numId w:val="109"/>
        </w:numPr>
      </w:pPr>
      <w:r>
        <w:t>a</w:t>
      </w:r>
      <w:r w:rsidR="000F6C30">
        <w:t xml:space="preserve"> CNB </w:t>
      </w:r>
      <w:r w:rsidR="00BE09BF">
        <w:t xml:space="preserve">quarterly survey </w:t>
      </w:r>
      <w:r>
        <w:t>of</w:t>
      </w:r>
      <w:r w:rsidR="00BE09BF">
        <w:t xml:space="preserve"> selected companies (the biggest players) on their cross-border assets and liabilities </w:t>
      </w:r>
      <w:r>
        <w:t>–</w:t>
      </w:r>
      <w:r w:rsidR="005B286A">
        <w:t xml:space="preserve"> </w:t>
      </w:r>
      <w:r w:rsidR="00BE09BF">
        <w:t>export and import credits, loans, deposits abroad</w:t>
      </w:r>
      <w:r w:rsidR="005B286A">
        <w:t xml:space="preserve"> (also in</w:t>
      </w:r>
      <w:r w:rsidR="00EA3A65">
        <w:t> </w:t>
      </w:r>
      <w:r>
        <w:t xml:space="preserve">a </w:t>
      </w:r>
      <w:r w:rsidR="005B286A">
        <w:t xml:space="preserve">direct investment enterprise relationship) and </w:t>
      </w:r>
      <w:r w:rsidR="00716EA7">
        <w:t>financial derivatives</w:t>
      </w:r>
      <w:r w:rsidR="0036490E">
        <w:t>;</w:t>
      </w:r>
      <w:r w:rsidR="009E4B5A">
        <w:t xml:space="preserve"> </w:t>
      </w:r>
    </w:p>
    <w:p w:rsidR="0005170C" w:rsidRDefault="005F75D3" w:rsidP="00EA3A65">
      <w:pPr>
        <w:pStyle w:val="CMFBText"/>
        <w:numPr>
          <w:ilvl w:val="0"/>
          <w:numId w:val="109"/>
        </w:numPr>
      </w:pPr>
      <w:r w:rsidRPr="00240265">
        <w:t xml:space="preserve">annual balance sheet data of direct investment enterprises for direct investment stock data and the corresponding reinvested earnings; </w:t>
      </w:r>
    </w:p>
    <w:p w:rsidR="0005170C" w:rsidRDefault="005F75D3" w:rsidP="00EA3A65">
      <w:pPr>
        <w:pStyle w:val="CMFBText"/>
        <w:numPr>
          <w:ilvl w:val="0"/>
          <w:numId w:val="109"/>
        </w:numPr>
      </w:pPr>
      <w:r w:rsidRPr="00240265">
        <w:t xml:space="preserve">monthly </w:t>
      </w:r>
      <w:r w:rsidR="00BE09BF">
        <w:t xml:space="preserve">s-b-s </w:t>
      </w:r>
      <w:r w:rsidRPr="00240265">
        <w:t>survey</w:t>
      </w:r>
      <w:r w:rsidR="00BE09BF">
        <w:t>s</w:t>
      </w:r>
      <w:r w:rsidRPr="00240265">
        <w:t xml:space="preserve"> </w:t>
      </w:r>
      <w:r w:rsidR="00977A00">
        <w:t>of</w:t>
      </w:r>
      <w:r w:rsidR="00BE09BF">
        <w:t xml:space="preserve"> banks, investment funds, pension funds</w:t>
      </w:r>
      <w:r w:rsidR="00977A00">
        <w:t xml:space="preserve"> and</w:t>
      </w:r>
      <w:r w:rsidR="00BE09BF">
        <w:t xml:space="preserve"> custodian</w:t>
      </w:r>
      <w:r w:rsidR="000F6C30">
        <w:t>s</w:t>
      </w:r>
      <w:r w:rsidR="00BE09BF">
        <w:t xml:space="preserve"> </w:t>
      </w:r>
      <w:r w:rsidRPr="00240265">
        <w:t>on</w:t>
      </w:r>
      <w:r w:rsidR="00EA3A65">
        <w:t> </w:t>
      </w:r>
      <w:r w:rsidRPr="00240265">
        <w:t>securities holdings for portfolio investment and subsequently derived income and transactions data</w:t>
      </w:r>
      <w:r w:rsidR="0036490E">
        <w:t>;</w:t>
      </w:r>
      <w:r w:rsidRPr="00240265">
        <w:t xml:space="preserve"> </w:t>
      </w:r>
    </w:p>
    <w:p w:rsidR="00EA3A65" w:rsidRDefault="002E280F" w:rsidP="00EA3A65">
      <w:pPr>
        <w:pStyle w:val="CMFBText"/>
        <w:numPr>
          <w:ilvl w:val="0"/>
          <w:numId w:val="109"/>
        </w:numPr>
      </w:pPr>
      <w:r>
        <w:t>quarterly s-b-s surveys from insurance companies and monthly aggregated survey</w:t>
      </w:r>
      <w:r w:rsidR="00DF2F62">
        <w:t>s</w:t>
      </w:r>
      <w:r>
        <w:t xml:space="preserve"> from insurance companies and investment </w:t>
      </w:r>
      <w:r w:rsidR="007011FA">
        <w:t xml:space="preserve">firms on their </w:t>
      </w:r>
      <w:r w:rsidR="00970D63">
        <w:t xml:space="preserve">own </w:t>
      </w:r>
      <w:r w:rsidR="007011FA">
        <w:t>account</w:t>
      </w:r>
      <w:r w:rsidR="00970D63">
        <w:t xml:space="preserve"> transactions</w:t>
      </w:r>
      <w:r>
        <w:t xml:space="preserve">; </w:t>
      </w:r>
    </w:p>
    <w:p w:rsidR="005F75D3" w:rsidRPr="00240265" w:rsidRDefault="005F75D3" w:rsidP="00EA3A65">
      <w:pPr>
        <w:pStyle w:val="CMFBText"/>
        <w:numPr>
          <w:ilvl w:val="0"/>
          <w:numId w:val="109"/>
        </w:numPr>
      </w:pPr>
      <w:proofErr w:type="gramStart"/>
      <w:r w:rsidRPr="00240265">
        <w:t>administrative</w:t>
      </w:r>
      <w:proofErr w:type="gramEnd"/>
      <w:r w:rsidRPr="00240265">
        <w:t xml:space="preserve"> data</w:t>
      </w:r>
      <w:r w:rsidR="000F6C30">
        <w:t xml:space="preserve"> (e.g. from </w:t>
      </w:r>
      <w:r w:rsidR="00977A00">
        <w:t xml:space="preserve">the </w:t>
      </w:r>
      <w:r w:rsidR="00716EA7">
        <w:t>Ministry of Finance</w:t>
      </w:r>
      <w:r w:rsidR="002E280F">
        <w:t xml:space="preserve"> </w:t>
      </w:r>
      <w:r w:rsidR="00375299">
        <w:t xml:space="preserve"> </w:t>
      </w:r>
      <w:r w:rsidR="00716EA7">
        <w:t xml:space="preserve">for </w:t>
      </w:r>
      <w:r w:rsidR="00977A00">
        <w:t xml:space="preserve">the </w:t>
      </w:r>
      <w:r w:rsidR="00716EA7">
        <w:t xml:space="preserve">general government sector </w:t>
      </w:r>
      <w:r w:rsidR="007011FA">
        <w:t>and data</w:t>
      </w:r>
      <w:r w:rsidR="00977A00">
        <w:t xml:space="preserve"> from the </w:t>
      </w:r>
      <w:r w:rsidR="000F6C30">
        <w:t>land registry)</w:t>
      </w:r>
      <w:r w:rsidRPr="00240265">
        <w:t>.</w:t>
      </w:r>
    </w:p>
    <w:p w:rsidR="005F75D3" w:rsidRPr="00240265" w:rsidRDefault="009E4B5A" w:rsidP="003540FB">
      <w:pPr>
        <w:pStyle w:val="CMFBText"/>
      </w:pPr>
      <w:r>
        <w:t xml:space="preserve">  </w:t>
      </w:r>
    </w:p>
    <w:p w:rsidR="005F75D3" w:rsidRPr="00D82236" w:rsidRDefault="005F75D3" w:rsidP="00FC223E">
      <w:pPr>
        <w:pStyle w:val="Nadpis4"/>
        <w:numPr>
          <w:ilvl w:val="3"/>
          <w:numId w:val="53"/>
        </w:numPr>
        <w:spacing w:before="240" w:after="240" w:line="240" w:lineRule="auto"/>
      </w:pPr>
      <w:r w:rsidRPr="00FC223E">
        <w:rPr>
          <w:i w:val="0"/>
        </w:rPr>
        <w:t>International investment position</w:t>
      </w:r>
    </w:p>
    <w:p w:rsidR="005F75D3" w:rsidRPr="00240265" w:rsidRDefault="005F75D3" w:rsidP="003540FB">
      <w:pPr>
        <w:pStyle w:val="CMFBText"/>
      </w:pPr>
      <w:r w:rsidRPr="00240265">
        <w:t xml:space="preserve">General remarks: </w:t>
      </w:r>
      <w:r w:rsidR="00977A00">
        <w:t xml:space="preserve">The </w:t>
      </w:r>
      <w:r w:rsidR="0087034C">
        <w:t>Czech</w:t>
      </w:r>
      <w:r w:rsidR="00977A00">
        <w:t xml:space="preserve"> Republic</w:t>
      </w:r>
      <w:r w:rsidRPr="00240265">
        <w:t xml:space="preserve">’s international investment position is compiled mainly on the basis of actual stock statistics. The main data sources are: </w:t>
      </w:r>
    </w:p>
    <w:p w:rsidR="005F75D3" w:rsidRPr="0025780B" w:rsidRDefault="005F75D3" w:rsidP="003540FB">
      <w:pPr>
        <w:pStyle w:val="CMFBBullet"/>
        <w:rPr>
          <w:lang w:val="en-GB"/>
        </w:rPr>
      </w:pPr>
      <w:r w:rsidRPr="0025780B">
        <w:rPr>
          <w:lang w:val="en-GB"/>
        </w:rPr>
        <w:t xml:space="preserve">the monthly stock statistics on the external assets and liabilities of domestic banks and </w:t>
      </w:r>
      <w:r w:rsidR="00586367">
        <w:rPr>
          <w:lang w:val="en-GB"/>
        </w:rPr>
        <w:t xml:space="preserve">the monthly and quarterly reports </w:t>
      </w:r>
      <w:r w:rsidRPr="0025780B">
        <w:rPr>
          <w:lang w:val="en-GB"/>
        </w:rPr>
        <w:t>of other domestic enterprises</w:t>
      </w:r>
      <w:r w:rsidR="00440D25">
        <w:rPr>
          <w:lang w:val="en-GB"/>
        </w:rPr>
        <w:t xml:space="preserve"> (a sample survey)</w:t>
      </w:r>
      <w:r w:rsidRPr="0025780B">
        <w:rPr>
          <w:lang w:val="en-GB"/>
        </w:rPr>
        <w:t xml:space="preserve"> and general government arising from financial operations and trade credits;</w:t>
      </w:r>
    </w:p>
    <w:p w:rsidR="005F75D3" w:rsidRPr="0025780B" w:rsidRDefault="005F75D3" w:rsidP="003540FB">
      <w:pPr>
        <w:pStyle w:val="CMFBBullet"/>
        <w:rPr>
          <w:lang w:val="en-GB"/>
        </w:rPr>
      </w:pPr>
      <w:r w:rsidRPr="0025780B">
        <w:rPr>
          <w:lang w:val="en-GB"/>
        </w:rPr>
        <w:t>the monthly stock statistics of investment funds</w:t>
      </w:r>
      <w:r w:rsidR="00693234">
        <w:rPr>
          <w:lang w:val="en-GB"/>
        </w:rPr>
        <w:t>, pension funds and insurance institutions</w:t>
      </w:r>
      <w:r w:rsidR="007C32C8">
        <w:rPr>
          <w:lang w:val="en-GB"/>
        </w:rPr>
        <w:t>;</w:t>
      </w:r>
    </w:p>
    <w:p w:rsidR="005F75D3" w:rsidRPr="0025780B" w:rsidRDefault="005F75D3" w:rsidP="003540FB">
      <w:pPr>
        <w:pStyle w:val="CMFBBullet"/>
        <w:rPr>
          <w:lang w:val="en-GB"/>
        </w:rPr>
      </w:pPr>
      <w:r w:rsidRPr="0025780B">
        <w:rPr>
          <w:lang w:val="en-GB"/>
        </w:rPr>
        <w:t xml:space="preserve">the annual statistics on direct investment positions, which are used for compiling foreign direct investment stocks; </w:t>
      </w:r>
    </w:p>
    <w:p w:rsidR="005F75D3" w:rsidRPr="0025780B" w:rsidRDefault="005F75D3" w:rsidP="003540FB">
      <w:pPr>
        <w:pStyle w:val="CMFBBullet"/>
        <w:rPr>
          <w:lang w:val="en-GB"/>
        </w:rPr>
      </w:pPr>
      <w:r w:rsidRPr="0025780B">
        <w:rPr>
          <w:lang w:val="en-GB"/>
        </w:rPr>
        <w:t xml:space="preserve">the </w:t>
      </w:r>
      <w:r w:rsidR="000F6C30" w:rsidRPr="0025780B">
        <w:rPr>
          <w:lang w:val="en-GB"/>
        </w:rPr>
        <w:t>monthly</w:t>
      </w:r>
      <w:r w:rsidR="00712EB6">
        <w:rPr>
          <w:lang w:val="en-GB"/>
        </w:rPr>
        <w:t xml:space="preserve"> report</w:t>
      </w:r>
      <w:r w:rsidR="0025780B">
        <w:rPr>
          <w:lang w:val="en-GB"/>
        </w:rPr>
        <w:t xml:space="preserve"> </w:t>
      </w:r>
      <w:r w:rsidR="000F6C30" w:rsidRPr="0025780B">
        <w:rPr>
          <w:lang w:val="en-GB"/>
        </w:rPr>
        <w:t>on</w:t>
      </w:r>
      <w:r w:rsidRPr="0025780B">
        <w:rPr>
          <w:lang w:val="en-GB"/>
        </w:rPr>
        <w:t xml:space="preserve"> securities </w:t>
      </w:r>
      <w:r w:rsidR="00AA0F42" w:rsidRPr="0025780B">
        <w:rPr>
          <w:lang w:val="en-GB"/>
        </w:rPr>
        <w:t>from bank and non-bank custodians on</w:t>
      </w:r>
      <w:r w:rsidRPr="0025780B">
        <w:rPr>
          <w:lang w:val="en-GB"/>
        </w:rPr>
        <w:t xml:space="preserve"> the assets</w:t>
      </w:r>
      <w:r w:rsidR="00AA0F42" w:rsidRPr="0025780B">
        <w:rPr>
          <w:lang w:val="en-GB"/>
        </w:rPr>
        <w:t xml:space="preserve"> (resident)</w:t>
      </w:r>
      <w:r w:rsidRPr="0025780B">
        <w:rPr>
          <w:lang w:val="en-GB"/>
        </w:rPr>
        <w:t xml:space="preserve"> </w:t>
      </w:r>
      <w:r w:rsidR="000F6C30" w:rsidRPr="0025780B">
        <w:rPr>
          <w:lang w:val="en-GB"/>
        </w:rPr>
        <w:t>and liabilities</w:t>
      </w:r>
      <w:r w:rsidR="00AA0F42" w:rsidRPr="0025780B">
        <w:rPr>
          <w:lang w:val="en-GB"/>
        </w:rPr>
        <w:t xml:space="preserve"> (non-resident)</w:t>
      </w:r>
      <w:r w:rsidR="000F6C30" w:rsidRPr="0025780B">
        <w:rPr>
          <w:lang w:val="en-GB"/>
        </w:rPr>
        <w:t xml:space="preserve"> </w:t>
      </w:r>
      <w:r w:rsidRPr="0025780B">
        <w:rPr>
          <w:lang w:val="en-GB"/>
        </w:rPr>
        <w:t xml:space="preserve">of portfolio investment positions; </w:t>
      </w:r>
    </w:p>
    <w:p w:rsidR="005F75D3" w:rsidRPr="0025780B" w:rsidRDefault="00291763" w:rsidP="003540FB">
      <w:pPr>
        <w:pStyle w:val="CMFBBullet"/>
        <w:rPr>
          <w:lang w:val="en-GB"/>
        </w:rPr>
      </w:pPr>
      <w:proofErr w:type="gramStart"/>
      <w:r w:rsidRPr="0005170C">
        <w:rPr>
          <w:sz w:val="22"/>
          <w:lang w:val="en-GB"/>
        </w:rPr>
        <w:t>the</w:t>
      </w:r>
      <w:proofErr w:type="gramEnd"/>
      <w:r>
        <w:rPr>
          <w:lang w:val="en-GB"/>
        </w:rPr>
        <w:t xml:space="preserve"> </w:t>
      </w:r>
      <w:r w:rsidR="008F70CF">
        <w:rPr>
          <w:lang w:val="en-GB"/>
        </w:rPr>
        <w:t>CNB</w:t>
      </w:r>
      <w:r w:rsidR="005F75D3" w:rsidRPr="0025780B">
        <w:rPr>
          <w:lang w:val="en-GB"/>
        </w:rPr>
        <w:t xml:space="preserve"> </w:t>
      </w:r>
      <w:r w:rsidR="00E92813">
        <w:rPr>
          <w:lang w:val="en-GB"/>
        </w:rPr>
        <w:t xml:space="preserve">reserve and other </w:t>
      </w:r>
      <w:r w:rsidR="005F75D3" w:rsidRPr="0025780B">
        <w:rPr>
          <w:lang w:val="en-GB"/>
        </w:rPr>
        <w:t xml:space="preserve">assets </w:t>
      </w:r>
      <w:r w:rsidR="004A3F77">
        <w:rPr>
          <w:lang w:val="en-GB"/>
        </w:rPr>
        <w:t xml:space="preserve">(liabilities) </w:t>
      </w:r>
      <w:r w:rsidR="005F75D3" w:rsidRPr="0025780B">
        <w:rPr>
          <w:lang w:val="en-GB"/>
        </w:rPr>
        <w:t xml:space="preserve">taken from the Accounting Division of the </w:t>
      </w:r>
      <w:r w:rsidR="000F6C30" w:rsidRPr="0025780B">
        <w:rPr>
          <w:lang w:val="en-GB"/>
        </w:rPr>
        <w:t>Czech National Bank</w:t>
      </w:r>
      <w:r w:rsidR="00440D25">
        <w:rPr>
          <w:lang w:val="en-GB"/>
        </w:rPr>
        <w:t>.</w:t>
      </w:r>
    </w:p>
    <w:p w:rsidR="005F75D3" w:rsidRPr="00DE6227" w:rsidRDefault="00440D25" w:rsidP="0005170C">
      <w:pPr>
        <w:pStyle w:val="CMFBBullet"/>
        <w:numPr>
          <w:ilvl w:val="0"/>
          <w:numId w:val="0"/>
        </w:numPr>
        <w:ind w:left="1134"/>
        <w:rPr>
          <w:lang w:val="en-GB"/>
        </w:rPr>
      </w:pPr>
      <w:r>
        <w:rPr>
          <w:lang w:val="en-GB"/>
        </w:rPr>
        <w:t xml:space="preserve"> </w:t>
      </w:r>
    </w:p>
    <w:p w:rsidR="005F75D3" w:rsidRPr="00240265" w:rsidRDefault="005F75D3" w:rsidP="003540FB">
      <w:pPr>
        <w:pStyle w:val="CMFBText"/>
      </w:pPr>
      <w:r w:rsidRPr="00240265">
        <w:t>These sources allow for a detailed sectoral classification.</w:t>
      </w:r>
    </w:p>
    <w:p w:rsidR="005F75D3" w:rsidRPr="00240265" w:rsidRDefault="005F75D3" w:rsidP="003540FB">
      <w:pPr>
        <w:pStyle w:val="CMFBText"/>
      </w:pPr>
      <w:r w:rsidRPr="00240265">
        <w:t>For most</w:t>
      </w:r>
      <w:r w:rsidR="00D94BFF">
        <w:t xml:space="preserve"> of the</w:t>
      </w:r>
      <w:r w:rsidRPr="00240265">
        <w:t xml:space="preserve"> </w:t>
      </w:r>
      <w:proofErr w:type="spellStart"/>
      <w:r w:rsidRPr="00240265">
        <w:t>i.i.p</w:t>
      </w:r>
      <w:proofErr w:type="spellEnd"/>
      <w:r w:rsidRPr="00240265">
        <w:t xml:space="preserve">. items, the basic data are available in a timely fashion to allow </w:t>
      </w:r>
      <w:r w:rsidR="00D94BFF">
        <w:t>t</w:t>
      </w:r>
      <w:r w:rsidR="00291763">
        <w:t>he</w:t>
      </w:r>
      <w:r w:rsidR="00D94BFF">
        <w:t xml:space="preserve"> use </w:t>
      </w:r>
      <w:r w:rsidRPr="00240265">
        <w:t xml:space="preserve">the </w:t>
      </w:r>
      <w:r w:rsidR="00D94BFF">
        <w:t>“</w:t>
      </w:r>
      <w:r w:rsidRPr="00240265">
        <w:t>bottom-up approach</w:t>
      </w:r>
      <w:r w:rsidR="00D94BFF">
        <w:t>”</w:t>
      </w:r>
      <w:r w:rsidRPr="00240265">
        <w:t xml:space="preserve"> </w:t>
      </w:r>
      <w:r w:rsidR="00291763">
        <w:t>to compile</w:t>
      </w:r>
      <w:r w:rsidRPr="00240265">
        <w:t xml:space="preserve"> the quarterly </w:t>
      </w:r>
      <w:proofErr w:type="spellStart"/>
      <w:r w:rsidRPr="00240265">
        <w:t>i.i.p</w:t>
      </w:r>
      <w:proofErr w:type="spellEnd"/>
      <w:r w:rsidRPr="00240265">
        <w:t xml:space="preserve">. </w:t>
      </w:r>
    </w:p>
    <w:p w:rsidR="005F75D3" w:rsidRPr="00240265" w:rsidRDefault="00291763" w:rsidP="003540FB">
      <w:pPr>
        <w:pStyle w:val="CMFBText"/>
      </w:pPr>
      <w:r>
        <w:t>The i</w:t>
      </w:r>
      <w:r w:rsidR="005F75D3" w:rsidRPr="00240265">
        <w:t xml:space="preserve">nternational investment position statistics compiled </w:t>
      </w:r>
      <w:r w:rsidR="00AA0F42">
        <w:t xml:space="preserve">on a quarterly basis </w:t>
      </w:r>
      <w:r w:rsidR="005F75D3" w:rsidRPr="00240265">
        <w:t>are calculated on a country-by-country basis and then aggregated to regional groups (e.g. extra-</w:t>
      </w:r>
      <w:r w:rsidR="00352160">
        <w:t>EU</w:t>
      </w:r>
      <w:r w:rsidR="005F75D3" w:rsidRPr="00240265">
        <w:t xml:space="preserve">). </w:t>
      </w:r>
      <w:r w:rsidR="008D68CA">
        <w:t>The</w:t>
      </w:r>
      <w:r w:rsidR="00EA3A65">
        <w:t> </w:t>
      </w:r>
      <w:r w:rsidR="008D68CA">
        <w:t>reconciliation between stocks and flows (specifying exchange rate, price and other changes) is</w:t>
      </w:r>
      <w:r w:rsidR="00C3480C">
        <w:t xml:space="preserve"> calculated</w:t>
      </w:r>
      <w:r w:rsidR="008D68CA">
        <w:t xml:space="preserve">. </w:t>
      </w:r>
    </w:p>
    <w:p w:rsidR="00C60846" w:rsidRPr="008334D3" w:rsidRDefault="00C60846" w:rsidP="00C60846">
      <w:pPr>
        <w:pStyle w:val="Nadpis3"/>
        <w:ind w:left="709" w:hanging="709"/>
        <w:rPr>
          <w:i/>
          <w:u w:val="none"/>
        </w:rPr>
      </w:pPr>
      <w:r>
        <w:rPr>
          <w:i/>
          <w:u w:val="none"/>
        </w:rPr>
        <w:lastRenderedPageBreak/>
        <w:t xml:space="preserve">Country specific aspects </w:t>
      </w:r>
    </w:p>
    <w:p w:rsidR="00CA1141" w:rsidRPr="00CA1141" w:rsidRDefault="00C60846" w:rsidP="00CA1141">
      <w:pPr>
        <w:pStyle w:val="CMFBText"/>
      </w:pPr>
      <w:r w:rsidRPr="00240265">
        <w:t xml:space="preserve">More specific remarks on </w:t>
      </w:r>
      <w:proofErr w:type="spellStart"/>
      <w:r w:rsidR="00AA0F42">
        <w:t>BoP</w:t>
      </w:r>
      <w:proofErr w:type="spellEnd"/>
      <w:r w:rsidR="00AA0F42">
        <w:t xml:space="preserve"> and IIP </w:t>
      </w:r>
      <w:r w:rsidRPr="00240265">
        <w:t>statistic</w:t>
      </w:r>
      <w:r w:rsidR="00AA0F42">
        <w:t>s</w:t>
      </w:r>
      <w:r w:rsidRPr="00240265">
        <w:t xml:space="preserve"> can be found </w:t>
      </w:r>
      <w:r w:rsidR="00352160">
        <w:t>in</w:t>
      </w:r>
      <w:r w:rsidRPr="00240265">
        <w:t xml:space="preserve"> the </w:t>
      </w:r>
      <w:hyperlink r:id="rId19" w:history="1">
        <w:r w:rsidR="00CA1141" w:rsidRPr="00CA1141">
          <w:rPr>
            <w:rStyle w:val="Hypertextovodkaz"/>
          </w:rPr>
          <w:t>SDDS Plus metadata</w:t>
        </w:r>
      </w:hyperlink>
    </w:p>
    <w:p w:rsidR="00C60846" w:rsidRDefault="00C60846" w:rsidP="00C60846">
      <w:pPr>
        <w:pStyle w:val="CMFBText"/>
      </w:pPr>
      <w:proofErr w:type="gramStart"/>
      <w:r w:rsidRPr="00240265">
        <w:t>and</w:t>
      </w:r>
      <w:proofErr w:type="gramEnd"/>
      <w:r w:rsidRPr="00240265">
        <w:t xml:space="preserve"> on</w:t>
      </w:r>
      <w:r w:rsidR="00EA3A65">
        <w:t> </w:t>
      </w:r>
      <w:r w:rsidRPr="00240265">
        <w:t xml:space="preserve">the </w:t>
      </w:r>
      <w:r w:rsidR="00AA0F42">
        <w:t xml:space="preserve">Czech National </w:t>
      </w:r>
      <w:r w:rsidR="00CC3438">
        <w:t>Bank</w:t>
      </w:r>
      <w:r w:rsidR="00CC3438" w:rsidRPr="00240265">
        <w:t xml:space="preserve"> </w:t>
      </w:r>
      <w:r w:rsidRPr="00240265">
        <w:t>website</w:t>
      </w:r>
      <w:r w:rsidR="00AA0F42">
        <w:t xml:space="preserve"> in the </w:t>
      </w:r>
      <w:hyperlink r:id="rId20" w:history="1">
        <w:r w:rsidR="00CA1141" w:rsidRPr="00CA1141">
          <w:rPr>
            <w:rStyle w:val="Hypertextovodkaz"/>
          </w:rPr>
          <w:t xml:space="preserve">ARAD </w:t>
        </w:r>
        <w:r w:rsidR="00CA1141" w:rsidRPr="00CA1141">
          <w:rPr>
            <w:rStyle w:val="Hypertextovodkaz"/>
          </w:rPr>
          <w:t>database</w:t>
        </w:r>
      </w:hyperlink>
      <w:r w:rsidRPr="00240265">
        <w:t>:</w:t>
      </w:r>
    </w:p>
    <w:p w:rsidR="00CA1141" w:rsidRPr="00240265" w:rsidRDefault="00CA1141" w:rsidP="00C60846">
      <w:pPr>
        <w:pStyle w:val="CMFBText"/>
      </w:pPr>
    </w:p>
    <w:p w:rsidR="00C60846" w:rsidRDefault="00AA0F42" w:rsidP="00C60846">
      <w:pPr>
        <w:pStyle w:val="CMFBText"/>
      </w:pPr>
      <w:r>
        <w:t xml:space="preserve"> </w:t>
      </w:r>
      <w:hyperlink r:id="rId21" w:history="1">
        <w:r w:rsidR="00CA1141" w:rsidRPr="002E7D9B">
          <w:rPr>
            <w:rStyle w:val="Hypertextovodkaz"/>
          </w:rPr>
          <w:t>https://www.cn</w:t>
        </w:r>
        <w:r w:rsidR="00CA1141" w:rsidRPr="002E7D9B">
          <w:rPr>
            <w:rStyle w:val="Hypertextovodkaz"/>
          </w:rPr>
          <w:t>b.cz/en/statistics/bop_stat/</w:t>
        </w:r>
      </w:hyperlink>
    </w:p>
    <w:p w:rsidR="00CA1141" w:rsidRDefault="00CA1141" w:rsidP="00C60846">
      <w:pPr>
        <w:pStyle w:val="CMFBText"/>
      </w:pPr>
    </w:p>
    <w:p w:rsidR="005F75D3" w:rsidRPr="00D14E8D" w:rsidRDefault="005F75D3" w:rsidP="00D14E8D">
      <w:pPr>
        <w:pStyle w:val="Nadpis1"/>
      </w:pPr>
      <w:r w:rsidRPr="00D14E8D">
        <w:t>STATISTICAL OUTPUT</w:t>
      </w:r>
    </w:p>
    <w:p w:rsidR="005F75D3" w:rsidRPr="00FC223E" w:rsidRDefault="005F75D3" w:rsidP="00FC223E">
      <w:pPr>
        <w:pStyle w:val="Nadpis2"/>
        <w:ind w:hanging="709"/>
        <w:rPr>
          <w:b/>
        </w:rPr>
      </w:pPr>
      <w:r w:rsidRPr="00FC223E">
        <w:rPr>
          <w:b/>
        </w:rPr>
        <w:t>CoP11 Relevance / PC11 Relevance</w:t>
      </w:r>
    </w:p>
    <w:p w:rsidR="005F75D3" w:rsidRPr="00240265" w:rsidRDefault="005F75D3" w:rsidP="003540FB">
      <w:pPr>
        <w:pStyle w:val="CMFBText"/>
      </w:pPr>
      <w:r w:rsidRPr="00204960">
        <w:t xml:space="preserve">At the national level, the Balance of Payments Statistics Division regularly </w:t>
      </w:r>
      <w:r w:rsidR="00D94BFF" w:rsidRPr="00204960">
        <w:t>maintain</w:t>
      </w:r>
      <w:r w:rsidR="0094173D" w:rsidRPr="00204960">
        <w:t>s</w:t>
      </w:r>
      <w:r w:rsidR="00D94BFF" w:rsidRPr="00204960">
        <w:t xml:space="preserve"> close </w:t>
      </w:r>
      <w:r w:rsidRPr="00204960">
        <w:t>contact</w:t>
      </w:r>
      <w:r w:rsidR="0094173D" w:rsidRPr="00204960">
        <w:t>s</w:t>
      </w:r>
      <w:r w:rsidR="00D94BFF" w:rsidRPr="00204960">
        <w:t xml:space="preserve"> with</w:t>
      </w:r>
      <w:r w:rsidRPr="00204960">
        <w:t xml:space="preserve"> major users of </w:t>
      </w:r>
      <w:r w:rsidR="00AA0F42" w:rsidRPr="00204960">
        <w:t>Czech</w:t>
      </w:r>
      <w:r w:rsidRPr="00204960">
        <w:t xml:space="preserve"> balance of payments data, such as the </w:t>
      </w:r>
      <w:r w:rsidR="00204960" w:rsidRPr="00204960">
        <w:t xml:space="preserve">Monetary Department and the </w:t>
      </w:r>
      <w:r w:rsidRPr="00204960">
        <w:t>Economic</w:t>
      </w:r>
      <w:r w:rsidR="00204960" w:rsidRPr="00204960">
        <w:t xml:space="preserve"> Research</w:t>
      </w:r>
      <w:r w:rsidRPr="00204960">
        <w:t xml:space="preserve"> Department of the </w:t>
      </w:r>
      <w:r w:rsidR="00AA0F42" w:rsidRPr="00204960">
        <w:t>Czech National B</w:t>
      </w:r>
      <w:r w:rsidR="000039CE" w:rsidRPr="00204960">
        <w:t>a</w:t>
      </w:r>
      <w:r w:rsidR="00AA0F42" w:rsidRPr="00204960">
        <w:t>nk</w:t>
      </w:r>
      <w:r w:rsidRPr="00204960">
        <w:t>, ministries,</w:t>
      </w:r>
      <w:r w:rsidR="000039CE" w:rsidRPr="00204960">
        <w:t xml:space="preserve"> </w:t>
      </w:r>
      <w:r w:rsidR="003C3155" w:rsidRPr="00204960">
        <w:t xml:space="preserve">the </w:t>
      </w:r>
      <w:r w:rsidR="000039CE" w:rsidRPr="00204960">
        <w:t xml:space="preserve">Czech Statistical Office, </w:t>
      </w:r>
      <w:r w:rsidR="00C03006" w:rsidRPr="00204960">
        <w:t xml:space="preserve">the </w:t>
      </w:r>
      <w:r w:rsidR="000039CE" w:rsidRPr="00204960">
        <w:t>University of Economics</w:t>
      </w:r>
      <w:r w:rsidRPr="00204960">
        <w:t xml:space="preserve"> and other principal data users in</w:t>
      </w:r>
      <w:r w:rsidR="00EA3A65">
        <w:t> </w:t>
      </w:r>
      <w:r w:rsidRPr="00204960">
        <w:t xml:space="preserve">order to </w:t>
      </w:r>
      <w:r w:rsidR="00204960" w:rsidRPr="00204960">
        <w:t>inform them</w:t>
      </w:r>
      <w:r w:rsidRPr="00204960">
        <w:t xml:space="preserve"> of </w:t>
      </w:r>
      <w:r w:rsidR="00C03006" w:rsidRPr="00204960">
        <w:t xml:space="preserve">the </w:t>
      </w:r>
      <w:r w:rsidRPr="00204960">
        <w:t>emerging new national data</w:t>
      </w:r>
      <w:r w:rsidR="000039CE" w:rsidRPr="00204960">
        <w:t xml:space="preserve"> presentation and</w:t>
      </w:r>
      <w:r w:rsidRPr="00204960">
        <w:t xml:space="preserve"> </w:t>
      </w:r>
      <w:r w:rsidR="00204960" w:rsidRPr="00204960">
        <w:t xml:space="preserve">find out </w:t>
      </w:r>
      <w:r w:rsidR="000039CE" w:rsidRPr="00204960">
        <w:t xml:space="preserve">how </w:t>
      </w:r>
      <w:r w:rsidR="00204960" w:rsidRPr="00204960">
        <w:t>it</w:t>
      </w:r>
      <w:r w:rsidR="00EA3A65">
        <w:t> </w:t>
      </w:r>
      <w:r w:rsidR="000039CE" w:rsidRPr="00204960">
        <w:t>match</w:t>
      </w:r>
      <w:r w:rsidR="00204960" w:rsidRPr="00204960">
        <w:t>es</w:t>
      </w:r>
      <w:r w:rsidR="000039CE" w:rsidRPr="00204960">
        <w:t xml:space="preserve"> their </w:t>
      </w:r>
      <w:r w:rsidRPr="00204960">
        <w:t>needs.</w:t>
      </w:r>
      <w:r w:rsidR="00A6107A" w:rsidRPr="00204960">
        <w:t xml:space="preserve"> </w:t>
      </w:r>
      <w:r w:rsidRPr="00204960">
        <w:t xml:space="preserve">On specific occasions, the </w:t>
      </w:r>
      <w:r w:rsidR="000039CE" w:rsidRPr="006D15BF">
        <w:t xml:space="preserve">Czech National Bank </w:t>
      </w:r>
      <w:r w:rsidRPr="00204960">
        <w:t xml:space="preserve">has conducted </w:t>
      </w:r>
      <w:r w:rsidR="000039CE" w:rsidRPr="00204960">
        <w:t>discussions with data providers and professional associations on a new structure of</w:t>
      </w:r>
      <w:r w:rsidRPr="00204960">
        <w:t xml:space="preserve"> surveys.</w:t>
      </w:r>
      <w:r w:rsidR="00C03379" w:rsidRPr="00204960">
        <w:t xml:space="preserve"> All data requirements in the field of </w:t>
      </w:r>
      <w:proofErr w:type="spellStart"/>
      <w:r w:rsidR="00C03379" w:rsidRPr="00204960">
        <w:t>b.o.p</w:t>
      </w:r>
      <w:proofErr w:type="spellEnd"/>
      <w:proofErr w:type="gramStart"/>
      <w:r w:rsidR="00C03379" w:rsidRPr="00204960">
        <w:t>./</w:t>
      </w:r>
      <w:proofErr w:type="spellStart"/>
      <w:proofErr w:type="gramEnd"/>
      <w:r w:rsidR="00C03379" w:rsidRPr="00204960">
        <w:t>i.i.p</w:t>
      </w:r>
      <w:proofErr w:type="spellEnd"/>
      <w:r w:rsidR="00C03379" w:rsidRPr="00204960">
        <w:t xml:space="preserve">. statistics for the IMF and the European </w:t>
      </w:r>
      <w:r w:rsidR="00C03006" w:rsidRPr="00204960">
        <w:t>i</w:t>
      </w:r>
      <w:r w:rsidR="00C03379" w:rsidRPr="00204960">
        <w:t>nstitutions are implemented.</w:t>
      </w:r>
    </w:p>
    <w:p w:rsidR="005F75D3" w:rsidRPr="00FC223E" w:rsidRDefault="005F75D3" w:rsidP="00FC223E">
      <w:pPr>
        <w:pStyle w:val="Nadpis2"/>
        <w:ind w:hanging="709"/>
        <w:rPr>
          <w:b/>
        </w:rPr>
      </w:pPr>
      <w:r w:rsidRPr="00FC223E">
        <w:rPr>
          <w:b/>
        </w:rPr>
        <w:t>CoP12 Accuracy and reliability / PC12 Accuracy and reliability (including stability)</w:t>
      </w:r>
    </w:p>
    <w:p w:rsidR="005F75D3" w:rsidRPr="00240265" w:rsidRDefault="00C03006" w:rsidP="003540FB">
      <w:pPr>
        <w:pStyle w:val="CMFBText"/>
      </w:pPr>
      <w:r>
        <w:t>An e</w:t>
      </w:r>
      <w:r w:rsidR="005F75D3" w:rsidRPr="00240265">
        <w:t xml:space="preserve">xtract from the </w:t>
      </w:r>
      <w:r w:rsidR="00E979B4">
        <w:t>Czech Republic</w:t>
      </w:r>
      <w:r>
        <w:t>’s</w:t>
      </w:r>
      <w:r w:rsidR="005F75D3" w:rsidRPr="00240265">
        <w:t xml:space="preserve"> assessment </w:t>
      </w:r>
      <w:r>
        <w:t>in</w:t>
      </w:r>
      <w:r w:rsidR="005F75D3" w:rsidRPr="00240265">
        <w:t xml:space="preserve"> Eurostat</w:t>
      </w:r>
      <w:r>
        <w:t>’</w:t>
      </w:r>
      <w:r w:rsidR="005F75D3" w:rsidRPr="00240265">
        <w:t xml:space="preserve">s </w:t>
      </w:r>
      <w:r>
        <w:t xml:space="preserve">2015 </w:t>
      </w:r>
      <w:proofErr w:type="spellStart"/>
      <w:r w:rsidR="005F75D3" w:rsidRPr="00240265">
        <w:t>BoP</w:t>
      </w:r>
      <w:proofErr w:type="spellEnd"/>
      <w:r w:rsidR="005F75D3" w:rsidRPr="00240265">
        <w:t xml:space="preserve"> quality report:</w:t>
      </w:r>
    </w:p>
    <w:p w:rsidR="005F75D3" w:rsidRPr="00204960" w:rsidRDefault="005F75D3" w:rsidP="00FC223E">
      <w:pPr>
        <w:pStyle w:val="Nadpis3"/>
        <w:ind w:left="709" w:hanging="709"/>
      </w:pPr>
      <w:r w:rsidRPr="00204960">
        <w:rPr>
          <w:i/>
          <w:u w:val="none"/>
        </w:rPr>
        <w:t>Revisions</w:t>
      </w:r>
    </w:p>
    <w:p w:rsidR="00D84DEB" w:rsidRPr="00204960" w:rsidRDefault="00D84DEB" w:rsidP="00D84DEB">
      <w:pPr>
        <w:spacing w:before="120" w:after="120"/>
        <w:jc w:val="both"/>
        <w:rPr>
          <w:rFonts w:ascii="Times New Roman" w:hAnsi="Times New Roman"/>
          <w:color w:val="000000"/>
          <w:sz w:val="24"/>
          <w:szCs w:val="24"/>
        </w:rPr>
      </w:pPr>
      <w:r w:rsidRPr="00204960">
        <w:rPr>
          <w:rFonts w:ascii="Times New Roman" w:hAnsi="Times New Roman"/>
          <w:color w:val="000000"/>
          <w:sz w:val="24"/>
          <w:szCs w:val="24"/>
        </w:rPr>
        <w:t xml:space="preserve">Due to the rather short period of time of BPM6 data compilation, revisions’ analysis in this BOP quality report could not be fully carried out. For monthly BOP the largest revisions could be observed for capital account, due to </w:t>
      </w:r>
      <w:r w:rsidR="00D94BFF" w:rsidRPr="00204960">
        <w:rPr>
          <w:rFonts w:ascii="Times New Roman" w:hAnsi="Times New Roman"/>
          <w:color w:val="000000"/>
          <w:sz w:val="24"/>
          <w:szCs w:val="24"/>
        </w:rPr>
        <w:t xml:space="preserve">the </w:t>
      </w:r>
      <w:r w:rsidRPr="00204960">
        <w:rPr>
          <w:rFonts w:ascii="Times New Roman" w:hAnsi="Times New Roman"/>
          <w:color w:val="000000"/>
          <w:sz w:val="24"/>
          <w:szCs w:val="24"/>
        </w:rPr>
        <w:t>revisions from low initial estimates in two months. For quarterly balance of payments and international investment position quite substantial revisions took place for direct investment assets and liabilities. For quarterly IIP revisions concerned mainly direct investment. Directional reliability of monthly BOP reached 100% for all items and time periods, except for direct investment for 2011 - 2013, when it</w:t>
      </w:r>
      <w:r w:rsidR="00EA3A65">
        <w:rPr>
          <w:rFonts w:ascii="Times New Roman" w:hAnsi="Times New Roman"/>
          <w:color w:val="000000"/>
          <w:sz w:val="24"/>
          <w:szCs w:val="24"/>
        </w:rPr>
        <w:t> </w:t>
      </w:r>
      <w:r w:rsidRPr="00204960">
        <w:rPr>
          <w:rFonts w:ascii="Times New Roman" w:hAnsi="Times New Roman"/>
          <w:color w:val="000000"/>
          <w:sz w:val="24"/>
          <w:szCs w:val="24"/>
        </w:rPr>
        <w:t xml:space="preserve">equalled 94%.  </w:t>
      </w:r>
    </w:p>
    <w:p w:rsidR="00D84DEB" w:rsidRPr="00204960" w:rsidRDefault="00E403F8" w:rsidP="003540FB">
      <w:pPr>
        <w:pStyle w:val="CMFBText"/>
      </w:pPr>
      <w:r w:rsidRPr="00204960">
        <w:t xml:space="preserve">CZ external statistics revision policy follows Eurostat and the ECB requirements. </w:t>
      </w:r>
    </w:p>
    <w:p w:rsidR="005F75D3" w:rsidRPr="00204960" w:rsidRDefault="00D84DEB" w:rsidP="003540FB">
      <w:pPr>
        <w:pStyle w:val="CMFBText"/>
      </w:pPr>
      <w:r w:rsidRPr="00204960">
        <w:t xml:space="preserve"> </w:t>
      </w:r>
    </w:p>
    <w:p w:rsidR="005F75D3" w:rsidRPr="00204960" w:rsidRDefault="005F75D3" w:rsidP="00FC223E">
      <w:pPr>
        <w:pStyle w:val="Nadpis3"/>
        <w:ind w:left="709" w:hanging="709"/>
      </w:pPr>
      <w:r w:rsidRPr="00204960">
        <w:rPr>
          <w:i/>
          <w:u w:val="none"/>
        </w:rPr>
        <w:t xml:space="preserve">Errors and omissions and integrity rules </w:t>
      </w:r>
    </w:p>
    <w:p w:rsidR="00D84DEB" w:rsidRPr="00204960" w:rsidRDefault="00D84DEB" w:rsidP="00D84DEB">
      <w:pPr>
        <w:spacing w:before="240"/>
        <w:jc w:val="both"/>
        <w:rPr>
          <w:rFonts w:ascii="Times New Roman" w:hAnsi="Times New Roman"/>
          <w:noProof/>
          <w:sz w:val="24"/>
          <w:szCs w:val="24"/>
        </w:rPr>
      </w:pPr>
      <w:r w:rsidRPr="00204960">
        <w:rPr>
          <w:rFonts w:ascii="Times New Roman" w:hAnsi="Times New Roman"/>
          <w:color w:val="000000"/>
          <w:sz w:val="24"/>
          <w:szCs w:val="24"/>
        </w:rPr>
        <w:t xml:space="preserve">Size of errors and omissions is not significant and below the EU-28 median. From 2010Q4 until 2014Q1 there has been a trend of negative accumulation of values but with the latest </w:t>
      </w:r>
      <w:r w:rsidRPr="00204960">
        <w:rPr>
          <w:rFonts w:ascii="Times New Roman" w:hAnsi="Times New Roman"/>
          <w:color w:val="000000"/>
          <w:sz w:val="24"/>
          <w:szCs w:val="24"/>
        </w:rPr>
        <w:lastRenderedPageBreak/>
        <w:t>revisions in March 2015, this trend has become less significant. Eurostat appreciates the</w:t>
      </w:r>
      <w:r w:rsidR="00EA3A65">
        <w:rPr>
          <w:rFonts w:ascii="Times New Roman" w:hAnsi="Times New Roman"/>
          <w:color w:val="000000"/>
          <w:sz w:val="24"/>
          <w:szCs w:val="24"/>
        </w:rPr>
        <w:t> </w:t>
      </w:r>
      <w:r w:rsidRPr="00204960">
        <w:rPr>
          <w:rFonts w:ascii="Times New Roman" w:hAnsi="Times New Roman"/>
          <w:color w:val="000000"/>
          <w:sz w:val="24"/>
          <w:szCs w:val="24"/>
        </w:rPr>
        <w:t>continuous efforts of the Czech Republic to analyse the underlying factors of the E&amp;O.</w:t>
      </w:r>
    </w:p>
    <w:p w:rsidR="00D84DEB" w:rsidRDefault="00D84DEB" w:rsidP="003540FB">
      <w:pPr>
        <w:pStyle w:val="CMFBText"/>
      </w:pPr>
      <w:r w:rsidRPr="00204960">
        <w:rPr>
          <w:rFonts w:eastAsia="Times New Roman"/>
          <w:color w:val="000000"/>
          <w:lang w:eastAsia="en-GB"/>
        </w:rPr>
        <w:t>The consistency with the integrity rules is very good, with the exception of FDI flows and stock</w:t>
      </w:r>
      <w:r w:rsidR="0015719C" w:rsidRPr="00204960">
        <w:rPr>
          <w:rFonts w:eastAsia="Times New Roman"/>
          <w:color w:val="000000"/>
          <w:lang w:eastAsia="en-GB"/>
        </w:rPr>
        <w:t>,</w:t>
      </w:r>
      <w:r w:rsidRPr="00204960">
        <w:rPr>
          <w:rFonts w:eastAsia="Times New Roman"/>
          <w:color w:val="000000"/>
          <w:lang w:eastAsia="en-GB"/>
        </w:rPr>
        <w:t xml:space="preserve"> where it is good.</w:t>
      </w:r>
      <w:r w:rsidRPr="00204960">
        <w:rPr>
          <w:rFonts w:eastAsia="Times New Roman"/>
          <w:b/>
          <w:noProof/>
          <w:lang w:val="cs-CZ" w:eastAsia="en-GB"/>
        </w:rPr>
        <w:t xml:space="preserve"> </w:t>
      </w:r>
      <w:r w:rsidRPr="00204960">
        <w:rPr>
          <w:rFonts w:eastAsia="Times New Roman"/>
          <w:noProof/>
          <w:lang w:val="cs-CZ" w:eastAsia="en-GB"/>
        </w:rPr>
        <w:t>This can be explained by fine tuning of algorithms for the creation of the consistent FDI output</w:t>
      </w:r>
      <w:r w:rsidRPr="00204960">
        <w:rPr>
          <w:rFonts w:eastAsia="Times New Roman"/>
          <w:color w:val="000000"/>
          <w:lang w:eastAsia="en-GB"/>
        </w:rPr>
        <w:t xml:space="preserve">. </w:t>
      </w:r>
      <w:r w:rsidRPr="00204960">
        <w:rPr>
          <w:rFonts w:eastAsia="Times New Roman"/>
          <w:noProof/>
          <w:lang w:eastAsia="en-GB"/>
        </w:rPr>
        <w:t>There are no differences between quarterly and annual ITS data. In the case of preliminary FDI flows in 2013 the discrepancy between quarterly and annual data was caused by transformation of the FDI database into new BPM6 methodology. The</w:t>
      </w:r>
      <w:r w:rsidR="00EA3A65">
        <w:rPr>
          <w:rFonts w:eastAsia="Times New Roman"/>
          <w:noProof/>
          <w:lang w:eastAsia="en-GB"/>
        </w:rPr>
        <w:t> </w:t>
      </w:r>
      <w:r w:rsidRPr="00204960">
        <w:rPr>
          <w:rFonts w:eastAsia="Times New Roman"/>
          <w:noProof/>
          <w:lang w:eastAsia="en-GB"/>
        </w:rPr>
        <w:t>inconsistencies between quarterly and annual data were solved with quarterly FDI data revision in March 2015. Monthly and quarterly BOP data are fully consistent. Balance of payments and international investment position figures were fully reconciled by both functional category and instrument, except for financial derivatives, in which case reconciliation was not possible due to the reporting of transactions only for net flows.</w:t>
      </w:r>
    </w:p>
    <w:p w:rsidR="00DD47E3" w:rsidRPr="00240265" w:rsidRDefault="00D84DEB" w:rsidP="003540FB">
      <w:pPr>
        <w:pStyle w:val="CMFBText"/>
      </w:pPr>
      <w:r>
        <w:t xml:space="preserve"> </w:t>
      </w:r>
    </w:p>
    <w:p w:rsidR="005F75D3" w:rsidRPr="00FC223E" w:rsidRDefault="005F75D3" w:rsidP="00FC223E">
      <w:pPr>
        <w:pStyle w:val="Nadpis2"/>
        <w:ind w:hanging="709"/>
        <w:rPr>
          <w:b/>
        </w:rPr>
      </w:pPr>
      <w:r w:rsidRPr="00FC223E">
        <w:rPr>
          <w:b/>
        </w:rPr>
        <w:t>CoP13 Timeliness and punctuality / PC13 Timeliness (including punctuality)</w:t>
      </w:r>
    </w:p>
    <w:p w:rsidR="00F15B2A" w:rsidRPr="00FC223E" w:rsidRDefault="00F15B2A" w:rsidP="00FC223E">
      <w:pPr>
        <w:pStyle w:val="Nadpis3"/>
        <w:ind w:left="709" w:hanging="709"/>
        <w:rPr>
          <w:i/>
          <w:u w:val="none"/>
        </w:rPr>
      </w:pPr>
      <w:r>
        <w:rPr>
          <w:i/>
          <w:u w:val="none"/>
        </w:rPr>
        <w:t>National requirements</w:t>
      </w:r>
    </w:p>
    <w:p w:rsidR="005F75D3" w:rsidRPr="00D82236" w:rsidRDefault="005F75D3" w:rsidP="00AC7CB5">
      <w:pPr>
        <w:pStyle w:val="Nadpis4"/>
        <w:numPr>
          <w:ilvl w:val="0"/>
          <w:numId w:val="0"/>
        </w:numPr>
        <w:spacing w:before="240" w:after="240" w:line="240" w:lineRule="auto"/>
        <w:ind w:left="567" w:hanging="567"/>
      </w:pPr>
      <w:r w:rsidRPr="00FC223E">
        <w:rPr>
          <w:i w:val="0"/>
        </w:rPr>
        <w:t>Balance of payments</w:t>
      </w:r>
      <w:r w:rsidR="00D84DEB">
        <w:rPr>
          <w:i w:val="0"/>
        </w:rPr>
        <w:t xml:space="preserve"> and </w:t>
      </w:r>
      <w:r w:rsidR="00C03006">
        <w:rPr>
          <w:i w:val="0"/>
        </w:rPr>
        <w:t>i</w:t>
      </w:r>
      <w:r w:rsidR="00D84DEB">
        <w:rPr>
          <w:i w:val="0"/>
        </w:rPr>
        <w:t>nternational investment position</w:t>
      </w:r>
    </w:p>
    <w:p w:rsidR="005F75D3" w:rsidRDefault="005F75D3" w:rsidP="003540FB">
      <w:pPr>
        <w:pStyle w:val="CMFBText"/>
      </w:pPr>
      <w:r w:rsidRPr="00240265">
        <w:t xml:space="preserve">The </w:t>
      </w:r>
      <w:r w:rsidR="00D84DEB">
        <w:t>Czech National Bank</w:t>
      </w:r>
      <w:r w:rsidRPr="00240265">
        <w:t xml:space="preserve"> disseminates monthly balance of payments statistics 5</w:t>
      </w:r>
      <w:r w:rsidR="00C03006">
        <w:t>–</w:t>
      </w:r>
      <w:r w:rsidRPr="00240265">
        <w:t xml:space="preserve">6 weeks after the end of the reference month. </w:t>
      </w:r>
      <w:r w:rsidR="00D84DEB" w:rsidRPr="00240265">
        <w:t xml:space="preserve">Data </w:t>
      </w:r>
      <w:r w:rsidR="00D84DEB">
        <w:t xml:space="preserve">on </w:t>
      </w:r>
      <w:r w:rsidR="00C03006">
        <w:t>the i</w:t>
      </w:r>
      <w:r w:rsidR="00D84DEB">
        <w:t xml:space="preserve">nternational investment position </w:t>
      </w:r>
      <w:r w:rsidR="00D84DEB" w:rsidRPr="00240265">
        <w:t xml:space="preserve">are available on a quarterly basis with a lag of 3 months after the end of the reference quarter. </w:t>
      </w:r>
      <w:r w:rsidRPr="00240265">
        <w:t>The publication date</w:t>
      </w:r>
      <w:r w:rsidR="00D84DEB">
        <w:t>s</w:t>
      </w:r>
      <w:r w:rsidRPr="00240265">
        <w:t xml:space="preserve"> of </w:t>
      </w:r>
      <w:r w:rsidR="00C03006">
        <w:t xml:space="preserve">the </w:t>
      </w:r>
      <w:r w:rsidRPr="00240265">
        <w:t>balance of payments</w:t>
      </w:r>
      <w:r w:rsidR="00D84DEB">
        <w:t xml:space="preserve"> and international investment position are</w:t>
      </w:r>
      <w:r w:rsidRPr="00240265">
        <w:t xml:space="preserve"> available at the following address:</w:t>
      </w:r>
    </w:p>
    <w:p w:rsidR="00D84DEB" w:rsidRPr="00240265" w:rsidRDefault="00731863" w:rsidP="003540FB">
      <w:pPr>
        <w:pStyle w:val="CMFBText"/>
      </w:pPr>
      <w:hyperlink r:id="rId22" w:history="1"/>
      <w:r w:rsidR="00CA1141">
        <w:rPr>
          <w:rStyle w:val="Hypertextovodkaz"/>
        </w:rPr>
        <w:t xml:space="preserve"> </w:t>
      </w:r>
    </w:p>
    <w:p w:rsidR="00CA1141" w:rsidRPr="00CA1141" w:rsidRDefault="00CA1141" w:rsidP="00CA1141">
      <w:pPr>
        <w:pStyle w:val="CMFBText"/>
        <w:rPr>
          <w:u w:val="single"/>
        </w:rPr>
      </w:pPr>
      <w:hyperlink r:id="rId23" w:history="1">
        <w:r w:rsidRPr="00CA1141">
          <w:rPr>
            <w:rStyle w:val="Hypertextovodkaz"/>
          </w:rPr>
          <w:t>https://www</w:t>
        </w:r>
        <w:r w:rsidRPr="00CA1141">
          <w:rPr>
            <w:rStyle w:val="Hypertextovodkaz"/>
          </w:rPr>
          <w:t>.cnb.cz/en/cnb-news/calendar/</w:t>
        </w:r>
      </w:hyperlink>
    </w:p>
    <w:p w:rsidR="005F75D3" w:rsidRPr="00240265" w:rsidRDefault="00731863" w:rsidP="003540FB">
      <w:pPr>
        <w:pStyle w:val="CMFBText"/>
      </w:pPr>
      <w:hyperlink r:id="rId24" w:history="1"/>
      <w:r w:rsidR="00D84DEB">
        <w:rPr>
          <w:rStyle w:val="Hypertextovodkaz"/>
        </w:rPr>
        <w:t xml:space="preserve"> </w:t>
      </w:r>
      <w:r w:rsidR="005F75D3" w:rsidRPr="00240265">
        <w:t xml:space="preserve"> </w:t>
      </w:r>
    </w:p>
    <w:p w:rsidR="005F75D3" w:rsidRPr="00240265" w:rsidRDefault="0038238F" w:rsidP="003540FB">
      <w:pPr>
        <w:pStyle w:val="CMFBText"/>
      </w:pPr>
      <w:r>
        <w:t xml:space="preserve"> </w:t>
      </w:r>
    </w:p>
    <w:p w:rsidR="005F75D3" w:rsidRPr="00FC223E" w:rsidRDefault="00F15B2A" w:rsidP="00FC223E">
      <w:pPr>
        <w:pStyle w:val="Nadpis3"/>
        <w:ind w:left="709" w:hanging="709"/>
        <w:rPr>
          <w:i/>
          <w:u w:val="none"/>
        </w:rPr>
      </w:pPr>
      <w:r>
        <w:rPr>
          <w:i/>
          <w:u w:val="none"/>
        </w:rPr>
        <w:t>EU and other i</w:t>
      </w:r>
      <w:r w:rsidR="005F75D3" w:rsidRPr="00FC223E">
        <w:rPr>
          <w:i/>
          <w:u w:val="none"/>
        </w:rPr>
        <w:t xml:space="preserve">nternational requirements </w:t>
      </w:r>
    </w:p>
    <w:p w:rsidR="005F75D3" w:rsidRPr="00240265" w:rsidRDefault="0038238F" w:rsidP="003540FB">
      <w:pPr>
        <w:pStyle w:val="CMFBText"/>
      </w:pPr>
      <w:r>
        <w:t>The Czech Republic</w:t>
      </w:r>
      <w:r w:rsidR="005F75D3" w:rsidRPr="00240265">
        <w:t xml:space="preserve"> met all timeliness requirements from international institutions (ECB, Eurostat, IMF, OECD and BIS).</w:t>
      </w:r>
    </w:p>
    <w:p w:rsidR="00731863" w:rsidRDefault="0038238F" w:rsidP="003540FB">
      <w:pPr>
        <w:pStyle w:val="CMFBText"/>
      </w:pPr>
      <w:r>
        <w:t xml:space="preserve">The Czech </w:t>
      </w:r>
      <w:r w:rsidR="004A15E1">
        <w:t>Republic</w:t>
      </w:r>
      <w:r w:rsidR="005F75D3" w:rsidRPr="00240265">
        <w:t xml:space="preserve"> is also </w:t>
      </w:r>
      <w:r>
        <w:t>involved in</w:t>
      </w:r>
      <w:r w:rsidR="005F75D3" w:rsidRPr="00240265">
        <w:t xml:space="preserve"> the Special Data Dissemination Standard (SDDS</w:t>
      </w:r>
      <w:proofErr w:type="gramStart"/>
      <w:r w:rsidR="005F75D3" w:rsidRPr="00240265">
        <w:t xml:space="preserve">) </w:t>
      </w:r>
      <w:r w:rsidR="00731863">
        <w:t xml:space="preserve"> Plus</w:t>
      </w:r>
      <w:proofErr w:type="gramEnd"/>
      <w:r w:rsidR="00731863">
        <w:t xml:space="preserve"> </w:t>
      </w:r>
      <w:r w:rsidR="00140C11">
        <w:t xml:space="preserve">as part of </w:t>
      </w:r>
      <w:r w:rsidR="005F75D3" w:rsidRPr="00240265">
        <w:t xml:space="preserve">the </w:t>
      </w:r>
      <w:r w:rsidR="00140C11">
        <w:t>IMF</w:t>
      </w:r>
      <w:r w:rsidR="005F75D3" w:rsidRPr="00240265">
        <w:t xml:space="preserve">’s Data Standards Initiatives. All data required in the field of </w:t>
      </w:r>
      <w:r>
        <w:t xml:space="preserve">external statistics </w:t>
      </w:r>
      <w:r w:rsidR="005F75D3" w:rsidRPr="00240265">
        <w:t xml:space="preserve">can be accessed via the </w:t>
      </w:r>
      <w:r>
        <w:t>Czech Republic</w:t>
      </w:r>
      <w:r w:rsidR="00140C11">
        <w:t>’s</w:t>
      </w:r>
      <w:r w:rsidR="005F75D3" w:rsidRPr="00240265">
        <w:t xml:space="preserve"> </w:t>
      </w:r>
      <w:r w:rsidR="00140C11">
        <w:t>n</w:t>
      </w:r>
      <w:r w:rsidR="005F75D3" w:rsidRPr="00240265">
        <w:t xml:space="preserve">ational </w:t>
      </w:r>
      <w:r w:rsidR="00140C11">
        <w:t>d</w:t>
      </w:r>
      <w:r w:rsidR="005F75D3" w:rsidRPr="00240265">
        <w:t xml:space="preserve">ata </w:t>
      </w:r>
      <w:r w:rsidR="00140C11">
        <w:t>s</w:t>
      </w:r>
      <w:r w:rsidR="005F75D3" w:rsidRPr="00240265">
        <w:t xml:space="preserve">ummary </w:t>
      </w:r>
      <w:r w:rsidR="00140C11">
        <w:t>p</w:t>
      </w:r>
      <w:r w:rsidR="005F75D3" w:rsidRPr="00240265">
        <w:t xml:space="preserve">age: </w:t>
      </w:r>
      <w:hyperlink r:id="rId25" w:history="1"/>
      <w:r>
        <w:rPr>
          <w:rStyle w:val="Hypertextovodkaz"/>
        </w:rPr>
        <w:t xml:space="preserve"> </w:t>
      </w:r>
      <w:r w:rsidR="005F75D3" w:rsidRPr="00240265">
        <w:t xml:space="preserve"> </w:t>
      </w:r>
    </w:p>
    <w:p w:rsidR="00731863" w:rsidRDefault="00731863" w:rsidP="003540FB">
      <w:pPr>
        <w:pStyle w:val="CMFBText"/>
      </w:pPr>
      <w:hyperlink r:id="rId26" w:history="1">
        <w:r w:rsidRPr="002E7D9B">
          <w:rPr>
            <w:rStyle w:val="Hypertextovodkaz"/>
          </w:rPr>
          <w:t>https://www.cnb</w:t>
        </w:r>
        <w:r w:rsidRPr="002E7D9B">
          <w:rPr>
            <w:rStyle w:val="Hypertextovodkaz"/>
          </w:rPr>
          <w:t>.cz/en/statistics/sdds-plus/</w:t>
        </w:r>
      </w:hyperlink>
    </w:p>
    <w:p w:rsidR="00731863" w:rsidRDefault="00731863" w:rsidP="003540FB">
      <w:pPr>
        <w:pStyle w:val="CMFBText"/>
      </w:pPr>
    </w:p>
    <w:p w:rsidR="005F75D3" w:rsidRPr="00240265" w:rsidRDefault="00731863" w:rsidP="003540FB">
      <w:pPr>
        <w:pStyle w:val="CMFBText"/>
      </w:pPr>
      <w:hyperlink r:id="rId27" w:history="1"/>
      <w:r>
        <w:rPr>
          <w:rStyle w:val="Hypertextovodkaz"/>
        </w:rPr>
        <w:t xml:space="preserve"> </w:t>
      </w:r>
    </w:p>
    <w:p w:rsidR="005F75D3" w:rsidRPr="00FC223E" w:rsidRDefault="005F75D3" w:rsidP="00FC223E">
      <w:pPr>
        <w:pStyle w:val="Nadpis2"/>
        <w:ind w:hanging="709"/>
        <w:rPr>
          <w:b/>
        </w:rPr>
      </w:pPr>
      <w:r w:rsidRPr="00FC223E">
        <w:rPr>
          <w:b/>
        </w:rPr>
        <w:lastRenderedPageBreak/>
        <w:t>CoP14 Coherence and comparability / PC14 Consistency and comparability</w:t>
      </w:r>
    </w:p>
    <w:p w:rsidR="00DD47E3" w:rsidRDefault="00DD47E3" w:rsidP="00DD47E3">
      <w:pPr>
        <w:pStyle w:val="Nadpis3"/>
        <w:ind w:left="709" w:hanging="709"/>
        <w:rPr>
          <w:i/>
          <w:u w:val="none"/>
        </w:rPr>
      </w:pPr>
      <w:r>
        <w:rPr>
          <w:i/>
          <w:u w:val="none"/>
        </w:rPr>
        <w:t>Bilateral asymmetries</w:t>
      </w:r>
    </w:p>
    <w:p w:rsidR="0038238F" w:rsidRPr="00782033" w:rsidRDefault="0038238F" w:rsidP="0038238F">
      <w:pPr>
        <w:spacing w:before="120" w:after="120"/>
        <w:jc w:val="both"/>
        <w:rPr>
          <w:rFonts w:ascii="Times New Roman" w:hAnsi="Times New Roman"/>
          <w:noProof/>
          <w:sz w:val="24"/>
          <w:szCs w:val="24"/>
        </w:rPr>
      </w:pPr>
      <w:r w:rsidRPr="00782033">
        <w:rPr>
          <w:rFonts w:ascii="Times New Roman" w:hAnsi="Times New Roman"/>
          <w:noProof/>
          <w:sz w:val="24"/>
          <w:szCs w:val="24"/>
        </w:rPr>
        <w:t>In the case of both services and FDI</w:t>
      </w:r>
      <w:r w:rsidR="001B17B4">
        <w:rPr>
          <w:rFonts w:ascii="Times New Roman" w:hAnsi="Times New Roman"/>
          <w:noProof/>
          <w:sz w:val="24"/>
          <w:szCs w:val="24"/>
        </w:rPr>
        <w:t>,</w:t>
      </w:r>
      <w:r w:rsidRPr="00782033">
        <w:rPr>
          <w:rFonts w:ascii="Times New Roman" w:hAnsi="Times New Roman"/>
          <w:noProof/>
          <w:sz w:val="24"/>
          <w:szCs w:val="24"/>
        </w:rPr>
        <w:t xml:space="preserve"> the most significant asymmetries occur vis-à-vis neighbouring countries Germany, Austria</w:t>
      </w:r>
      <w:r w:rsidR="001B17B4">
        <w:rPr>
          <w:rFonts w:ascii="Times New Roman" w:hAnsi="Times New Roman"/>
          <w:noProof/>
          <w:sz w:val="24"/>
          <w:szCs w:val="24"/>
        </w:rPr>
        <w:t xml:space="preserve"> and</w:t>
      </w:r>
      <w:r w:rsidRPr="00782033">
        <w:rPr>
          <w:rFonts w:ascii="Times New Roman" w:hAnsi="Times New Roman"/>
          <w:noProof/>
          <w:sz w:val="24"/>
          <w:szCs w:val="24"/>
        </w:rPr>
        <w:t xml:space="preserve"> Poland, followed by the Netherlands, France and Belgium</w:t>
      </w:r>
      <w:r w:rsidR="0015719C">
        <w:rPr>
          <w:rFonts w:ascii="Times New Roman" w:hAnsi="Times New Roman"/>
          <w:noProof/>
          <w:sz w:val="24"/>
          <w:szCs w:val="24"/>
        </w:rPr>
        <w:t>.</w:t>
      </w:r>
      <w:r w:rsidRPr="00782033">
        <w:rPr>
          <w:rFonts w:ascii="Times New Roman" w:hAnsi="Times New Roman"/>
          <w:noProof/>
          <w:sz w:val="24"/>
          <w:szCs w:val="24"/>
        </w:rPr>
        <w:t xml:space="preserve"> </w:t>
      </w:r>
      <w:r w:rsidR="001B17B4">
        <w:rPr>
          <w:rFonts w:ascii="Times New Roman" w:hAnsi="Times New Roman"/>
          <w:noProof/>
          <w:sz w:val="24"/>
          <w:szCs w:val="24"/>
        </w:rPr>
        <w:t>As regards</w:t>
      </w:r>
      <w:r w:rsidRPr="00782033">
        <w:rPr>
          <w:rFonts w:ascii="Times New Roman" w:hAnsi="Times New Roman"/>
          <w:noProof/>
          <w:sz w:val="24"/>
          <w:szCs w:val="24"/>
        </w:rPr>
        <w:t xml:space="preserve"> FDI</w:t>
      </w:r>
      <w:r w:rsidR="001B17B4">
        <w:rPr>
          <w:rFonts w:ascii="Times New Roman" w:hAnsi="Times New Roman"/>
          <w:noProof/>
          <w:sz w:val="24"/>
          <w:szCs w:val="24"/>
        </w:rPr>
        <w:t>,</w:t>
      </w:r>
      <w:r w:rsidRPr="00782033">
        <w:rPr>
          <w:rFonts w:ascii="Times New Roman" w:hAnsi="Times New Roman"/>
          <w:noProof/>
          <w:sz w:val="24"/>
          <w:szCs w:val="24"/>
        </w:rPr>
        <w:t xml:space="preserve"> partial bilateral reconciliation excercises occurred </w:t>
      </w:r>
      <w:r w:rsidR="001B17B4">
        <w:rPr>
          <w:rFonts w:ascii="Times New Roman" w:hAnsi="Times New Roman"/>
          <w:noProof/>
          <w:sz w:val="24"/>
          <w:szCs w:val="24"/>
        </w:rPr>
        <w:t xml:space="preserve">in </w:t>
      </w:r>
      <w:r w:rsidR="00A761F8">
        <w:rPr>
          <w:rFonts w:ascii="Times New Roman" w:hAnsi="Times New Roman"/>
          <w:noProof/>
          <w:sz w:val="24"/>
          <w:szCs w:val="24"/>
        </w:rPr>
        <w:t>the</w:t>
      </w:r>
      <w:r w:rsidRPr="00782033">
        <w:rPr>
          <w:rFonts w:ascii="Times New Roman" w:hAnsi="Times New Roman"/>
          <w:noProof/>
          <w:sz w:val="24"/>
          <w:szCs w:val="24"/>
        </w:rPr>
        <w:t xml:space="preserve"> FDI network. For </w:t>
      </w:r>
      <w:r w:rsidR="001B17B4">
        <w:rPr>
          <w:rFonts w:ascii="Times New Roman" w:hAnsi="Times New Roman"/>
          <w:noProof/>
          <w:sz w:val="24"/>
          <w:szCs w:val="24"/>
        </w:rPr>
        <w:t xml:space="preserve">services </w:t>
      </w:r>
      <w:r w:rsidRPr="00782033">
        <w:rPr>
          <w:rFonts w:ascii="Times New Roman" w:hAnsi="Times New Roman"/>
          <w:noProof/>
          <w:sz w:val="24"/>
          <w:szCs w:val="24"/>
        </w:rPr>
        <w:t>trade</w:t>
      </w:r>
      <w:r w:rsidR="001B17B4">
        <w:rPr>
          <w:rFonts w:ascii="Times New Roman" w:hAnsi="Times New Roman"/>
          <w:noProof/>
          <w:sz w:val="24"/>
          <w:szCs w:val="24"/>
        </w:rPr>
        <w:t>,</w:t>
      </w:r>
      <w:r w:rsidRPr="00782033">
        <w:rPr>
          <w:rFonts w:ascii="Times New Roman" w:hAnsi="Times New Roman"/>
          <w:noProof/>
          <w:sz w:val="24"/>
          <w:szCs w:val="24"/>
        </w:rPr>
        <w:t xml:space="preserve"> no bilateral exercises </w:t>
      </w:r>
      <w:r w:rsidR="001B17B4">
        <w:rPr>
          <w:rFonts w:ascii="Times New Roman" w:hAnsi="Times New Roman"/>
          <w:noProof/>
          <w:sz w:val="24"/>
          <w:szCs w:val="24"/>
        </w:rPr>
        <w:t>under the</w:t>
      </w:r>
      <w:r w:rsidRPr="00782033">
        <w:rPr>
          <w:rFonts w:ascii="Times New Roman" w:hAnsi="Times New Roman"/>
          <w:noProof/>
          <w:sz w:val="24"/>
          <w:szCs w:val="24"/>
        </w:rPr>
        <w:t xml:space="preserve"> BPM6 methodology have been undertaken yet</w:t>
      </w:r>
      <w:r w:rsidR="001B17B4">
        <w:rPr>
          <w:rFonts w:ascii="Times New Roman" w:hAnsi="Times New Roman"/>
          <w:noProof/>
          <w:sz w:val="24"/>
          <w:szCs w:val="24"/>
        </w:rPr>
        <w:t>,</w:t>
      </w:r>
      <w:r w:rsidRPr="00782033">
        <w:rPr>
          <w:rFonts w:ascii="Times New Roman" w:hAnsi="Times New Roman"/>
          <w:noProof/>
          <w:sz w:val="24"/>
          <w:szCs w:val="24"/>
        </w:rPr>
        <w:t xml:space="preserve"> but possiblilites in this area will be discussed with </w:t>
      </w:r>
      <w:r w:rsidR="001B17B4">
        <w:rPr>
          <w:rFonts w:ascii="Times New Roman" w:hAnsi="Times New Roman"/>
          <w:noProof/>
          <w:sz w:val="24"/>
          <w:szCs w:val="24"/>
        </w:rPr>
        <w:t xml:space="preserve">the </w:t>
      </w:r>
      <w:r w:rsidRPr="00782033">
        <w:rPr>
          <w:rFonts w:ascii="Times New Roman" w:hAnsi="Times New Roman"/>
          <w:noProof/>
          <w:sz w:val="24"/>
          <w:szCs w:val="24"/>
        </w:rPr>
        <w:t>Czech Statistical Office.</w:t>
      </w:r>
    </w:p>
    <w:p w:rsidR="00DD47E3" w:rsidRPr="00240265" w:rsidRDefault="00DD47E3" w:rsidP="00DD47E3">
      <w:pPr>
        <w:pStyle w:val="CMFBText"/>
      </w:pPr>
    </w:p>
    <w:p w:rsidR="00DD47E3" w:rsidRDefault="00DD47E3" w:rsidP="00DD47E3">
      <w:pPr>
        <w:pStyle w:val="Nadpis3"/>
        <w:ind w:left="709" w:hanging="709"/>
        <w:rPr>
          <w:i/>
          <w:u w:val="none"/>
        </w:rPr>
      </w:pPr>
      <w:r>
        <w:rPr>
          <w:i/>
          <w:u w:val="none"/>
        </w:rPr>
        <w:t>Consistency with related statistics</w:t>
      </w:r>
    </w:p>
    <w:p w:rsidR="0038238F" w:rsidRPr="00240265" w:rsidRDefault="0038238F" w:rsidP="003540FB">
      <w:pPr>
        <w:pStyle w:val="CMFBText"/>
      </w:pPr>
      <w:r>
        <w:t xml:space="preserve"> </w:t>
      </w:r>
      <w:r w:rsidR="00DE7027">
        <w:rPr>
          <w:rFonts w:eastAsia="Times New Roman"/>
          <w:color w:val="000000"/>
          <w:lang w:eastAsia="en-GB"/>
        </w:rPr>
        <w:t xml:space="preserve"> </w:t>
      </w:r>
    </w:p>
    <w:p w:rsidR="005F75D3" w:rsidRPr="00240265" w:rsidRDefault="005F75D3" w:rsidP="003540FB">
      <w:pPr>
        <w:pStyle w:val="CMFBText"/>
      </w:pPr>
      <w:r w:rsidRPr="00240265">
        <w:t xml:space="preserve">With the implementation of BPM6 and ESA2010 in 2014, the </w:t>
      </w:r>
      <w:r w:rsidR="0038238F">
        <w:t>Czech Republic</w:t>
      </w:r>
      <w:r w:rsidRPr="00240265">
        <w:t xml:space="preserve"> balance of payments statistics and national accounts are conceptually consistent. However, differing data sources and revision timetables</w:t>
      </w:r>
      <w:r w:rsidR="001B17B4">
        <w:t>,</w:t>
      </w:r>
      <w:r w:rsidRPr="00240265">
        <w:t xml:space="preserve"> </w:t>
      </w:r>
      <w:r w:rsidR="00A761F8">
        <w:t>a</w:t>
      </w:r>
      <w:r w:rsidR="001B17B4">
        <w:t>s well as</w:t>
      </w:r>
      <w:r w:rsidR="00A761F8">
        <w:t xml:space="preserve"> different </w:t>
      </w:r>
      <w:proofErr w:type="spellStart"/>
      <w:r w:rsidR="00A761F8">
        <w:t>sectorisation</w:t>
      </w:r>
      <w:proofErr w:type="spellEnd"/>
      <w:r w:rsidR="001B17B4">
        <w:t>,</w:t>
      </w:r>
      <w:r w:rsidR="00A761F8">
        <w:t xml:space="preserve"> </w:t>
      </w:r>
      <w:r w:rsidRPr="00240265">
        <w:t>may still produce some differences in practice. These are regularly assessed and documented.</w:t>
      </w:r>
    </w:p>
    <w:p w:rsidR="005F75D3" w:rsidRPr="00240265" w:rsidRDefault="005F75D3" w:rsidP="003540FB">
      <w:pPr>
        <w:pStyle w:val="CMFBText"/>
      </w:pPr>
      <w:r w:rsidRPr="00240265">
        <w:t xml:space="preserve">For </w:t>
      </w:r>
      <w:r w:rsidR="001B17B4">
        <w:t xml:space="preserve">the </w:t>
      </w:r>
      <w:r w:rsidRPr="00240265">
        <w:t xml:space="preserve">balance of payments transactions of the banking </w:t>
      </w:r>
      <w:r w:rsidR="00E403F8">
        <w:t xml:space="preserve">and financial </w:t>
      </w:r>
      <w:r w:rsidRPr="00240265">
        <w:t>sector</w:t>
      </w:r>
      <w:r w:rsidR="00E403F8">
        <w:t>s</w:t>
      </w:r>
      <w:r w:rsidRPr="00240265">
        <w:t xml:space="preserve">, the </w:t>
      </w:r>
      <w:r w:rsidR="0038238F">
        <w:t xml:space="preserve">Czech National </w:t>
      </w:r>
      <w:r w:rsidR="00CC3438">
        <w:t>Bank</w:t>
      </w:r>
      <w:r w:rsidR="00CC3438" w:rsidRPr="00240265">
        <w:t xml:space="preserve"> </w:t>
      </w:r>
      <w:r w:rsidRPr="00240265">
        <w:t xml:space="preserve">checks with money and </w:t>
      </w:r>
      <w:r w:rsidR="0038238F">
        <w:t>financial</w:t>
      </w:r>
      <w:r w:rsidRPr="00240265">
        <w:t xml:space="preserve"> statistics </w:t>
      </w:r>
      <w:r w:rsidR="001B17B4">
        <w:t>every month</w:t>
      </w:r>
      <w:r w:rsidR="001B17B4" w:rsidRPr="00240265">
        <w:t xml:space="preserve"> </w:t>
      </w:r>
      <w:r w:rsidRPr="00240265">
        <w:t>for transactions in</w:t>
      </w:r>
      <w:r w:rsidR="00EA3A65">
        <w:t> </w:t>
      </w:r>
      <w:r w:rsidRPr="00240265">
        <w:t xml:space="preserve">assets and liabilities </w:t>
      </w:r>
      <w:r w:rsidR="00E403F8">
        <w:t>including</w:t>
      </w:r>
      <w:r w:rsidRPr="00240265">
        <w:t xml:space="preserve"> portfolio investment</w:t>
      </w:r>
      <w:r w:rsidR="005A78C4">
        <w:t>.</w:t>
      </w:r>
      <w:r w:rsidRPr="00240265">
        <w:t xml:space="preserve"> </w:t>
      </w:r>
      <w:r w:rsidR="00DE7027">
        <w:t xml:space="preserve"> </w:t>
      </w:r>
    </w:p>
    <w:p w:rsidR="00DD47E3" w:rsidRPr="00FC223E" w:rsidRDefault="00DD47E3" w:rsidP="00FC223E">
      <w:pPr>
        <w:pStyle w:val="Nadpis3"/>
        <w:ind w:left="709" w:hanging="709"/>
        <w:rPr>
          <w:i/>
        </w:rPr>
      </w:pPr>
      <w:r>
        <w:rPr>
          <w:i/>
          <w:u w:val="none"/>
        </w:rPr>
        <w:t>“Time” and back data consistency</w:t>
      </w:r>
    </w:p>
    <w:p w:rsidR="005F75D3" w:rsidRPr="00240265" w:rsidRDefault="005F75D3" w:rsidP="003540FB">
      <w:pPr>
        <w:pStyle w:val="CMFBText"/>
      </w:pPr>
      <w:r w:rsidRPr="00240265">
        <w:t>Consistent time series are made available to the users as far backwards as possible, partly dating back to 199</w:t>
      </w:r>
      <w:r w:rsidR="00317649">
        <w:t xml:space="preserve">3 on </w:t>
      </w:r>
      <w:r w:rsidR="001B17B4">
        <w:t>the</w:t>
      </w:r>
      <w:r w:rsidR="00317649">
        <w:t xml:space="preserve"> </w:t>
      </w:r>
      <w:r w:rsidRPr="00240265">
        <w:t xml:space="preserve">BPM6 basis. Breaks in the time series have occurred, in some instances, when changes in source data, methodology, or statistical techniques could not be reconstructed backwards owing to </w:t>
      </w:r>
      <w:r w:rsidR="001B17B4">
        <w:t>a</w:t>
      </w:r>
      <w:r w:rsidRPr="00240265">
        <w:t xml:space="preserve"> lack of data. This is the case, for example, for a</w:t>
      </w:r>
      <w:r w:rsidR="00782033">
        <w:t> </w:t>
      </w:r>
      <w:r w:rsidRPr="00240265">
        <w:t xml:space="preserve">number of detailed breakdowns that were implemented with </w:t>
      </w:r>
      <w:r w:rsidR="001B17B4">
        <w:t xml:space="preserve">the </w:t>
      </w:r>
      <w:r w:rsidRPr="00240265">
        <w:t>BPM6 methodology.</w:t>
      </w:r>
      <w:r w:rsidR="00317649">
        <w:t xml:space="preserve"> Nevertheless</w:t>
      </w:r>
      <w:r w:rsidR="0015719C">
        <w:t>,</w:t>
      </w:r>
      <w:r w:rsidR="00317649">
        <w:t xml:space="preserve"> consistency of </w:t>
      </w:r>
      <w:r w:rsidR="00574B03">
        <w:t xml:space="preserve">detailed </w:t>
      </w:r>
      <w:r w:rsidR="00317649">
        <w:t xml:space="preserve">data back to 2008 </w:t>
      </w:r>
      <w:r w:rsidR="001B17B4">
        <w:t>under the</w:t>
      </w:r>
      <w:r w:rsidR="00574B03">
        <w:t xml:space="preserve"> BPM6 methodology </w:t>
      </w:r>
      <w:r w:rsidR="00317649">
        <w:t xml:space="preserve">is guaranteed. </w:t>
      </w:r>
      <w:r w:rsidRPr="00240265">
        <w:t xml:space="preserve"> </w:t>
      </w:r>
    </w:p>
    <w:p w:rsidR="005F75D3" w:rsidRDefault="00317649" w:rsidP="003540FB">
      <w:pPr>
        <w:pStyle w:val="CMFBText"/>
      </w:pPr>
      <w:r>
        <w:t xml:space="preserve"> </w:t>
      </w:r>
    </w:p>
    <w:p w:rsidR="00DD47E3" w:rsidRPr="00A323BF" w:rsidRDefault="00DD47E3" w:rsidP="00DD47E3">
      <w:pPr>
        <w:pStyle w:val="Nadpis3"/>
        <w:ind w:left="709" w:hanging="709"/>
        <w:rPr>
          <w:i/>
          <w:u w:val="none"/>
        </w:rPr>
      </w:pPr>
      <w:r>
        <w:rPr>
          <w:i/>
          <w:u w:val="none"/>
        </w:rPr>
        <w:t>Consistency across frequencies</w:t>
      </w:r>
    </w:p>
    <w:p w:rsidR="00DD47E3" w:rsidRPr="00240265" w:rsidRDefault="001B17B4" w:rsidP="003540FB">
      <w:pPr>
        <w:pStyle w:val="CMFBText"/>
      </w:pPr>
      <w:r>
        <w:t xml:space="preserve">The </w:t>
      </w:r>
      <w:r w:rsidR="00A761F8">
        <w:t>Czech</w:t>
      </w:r>
      <w:r>
        <w:t xml:space="preserve"> Republic</w:t>
      </w:r>
      <w:r w:rsidR="00DD47E3" w:rsidRPr="00240265">
        <w:t>’s quarterly and annual balance of payments data are derived by aggregating monthly data. Generally, the underlying concepts, definitions, and classifications are therefore identical across series of differing periodicity.</w:t>
      </w:r>
    </w:p>
    <w:p w:rsidR="005F75D3" w:rsidRPr="00FC223E" w:rsidRDefault="005F75D3" w:rsidP="00FC223E">
      <w:pPr>
        <w:pStyle w:val="Nadpis2"/>
        <w:ind w:hanging="709"/>
        <w:rPr>
          <w:b/>
        </w:rPr>
      </w:pPr>
      <w:r w:rsidRPr="00FC223E">
        <w:rPr>
          <w:b/>
        </w:rPr>
        <w:lastRenderedPageBreak/>
        <w:t>CoP15 Accessibility and Clarity / PC15 Accessibility and Clarity</w:t>
      </w:r>
    </w:p>
    <w:p w:rsidR="00DD47E3" w:rsidRPr="00A323BF" w:rsidRDefault="00DD47E3" w:rsidP="00DD47E3">
      <w:pPr>
        <w:pStyle w:val="Nadpis3"/>
        <w:ind w:left="709" w:hanging="709"/>
        <w:rPr>
          <w:i/>
          <w:u w:val="none"/>
        </w:rPr>
      </w:pPr>
      <w:r>
        <w:rPr>
          <w:i/>
          <w:u w:val="none"/>
        </w:rPr>
        <w:t>Data</w:t>
      </w:r>
    </w:p>
    <w:p w:rsidR="005F75D3" w:rsidRPr="00D82236" w:rsidRDefault="005F75D3" w:rsidP="00FC223E">
      <w:pPr>
        <w:pStyle w:val="Nadpis4"/>
        <w:numPr>
          <w:ilvl w:val="3"/>
          <w:numId w:val="69"/>
        </w:numPr>
        <w:spacing w:before="240" w:after="240" w:line="240" w:lineRule="auto"/>
      </w:pPr>
      <w:r w:rsidRPr="00FC223E">
        <w:rPr>
          <w:i w:val="0"/>
        </w:rPr>
        <w:t>Balance of payments</w:t>
      </w:r>
    </w:p>
    <w:p w:rsidR="005F75D3" w:rsidRPr="00240265" w:rsidRDefault="005F75D3" w:rsidP="003540FB">
      <w:pPr>
        <w:pStyle w:val="CMFBText"/>
      </w:pPr>
      <w:r w:rsidRPr="00240265">
        <w:t xml:space="preserve">The monthly </w:t>
      </w:r>
      <w:r w:rsidR="001B17B4">
        <w:t>commentary</w:t>
      </w:r>
      <w:r w:rsidRPr="00240265">
        <w:t xml:space="preserve"> on balance of payments statistics contains a table with </w:t>
      </w:r>
      <w:r w:rsidR="001B17B4">
        <w:t xml:space="preserve">the </w:t>
      </w:r>
      <w:r w:rsidRPr="00240265">
        <w:t xml:space="preserve">major balance of payments aggregates accompanied by a short commentary on </w:t>
      </w:r>
      <w:r w:rsidR="001B17B4">
        <w:t>recent</w:t>
      </w:r>
      <w:r w:rsidRPr="00240265">
        <w:t xml:space="preserve"> development</w:t>
      </w:r>
      <w:r w:rsidR="001B17B4">
        <w:t>s</w:t>
      </w:r>
      <w:r w:rsidRPr="00240265">
        <w:t>. The table includes preliminary data for the current reporting month.</w:t>
      </w:r>
      <w:r w:rsidR="00A06E4C">
        <w:t xml:space="preserve"> Preliminary monthly </w:t>
      </w:r>
      <w:proofErr w:type="spellStart"/>
      <w:r w:rsidR="00A06E4C">
        <w:t>BoP</w:t>
      </w:r>
      <w:proofErr w:type="spellEnd"/>
      <w:r w:rsidR="00A06E4C">
        <w:t xml:space="preserve"> data are revised on a quarterly basis, when quarterly data are </w:t>
      </w:r>
      <w:r w:rsidR="00CC3438">
        <w:t xml:space="preserve">commented </w:t>
      </w:r>
      <w:r w:rsidR="001B17B4">
        <w:t xml:space="preserve">upon </w:t>
      </w:r>
      <w:r w:rsidR="00CC3438">
        <w:t xml:space="preserve">and </w:t>
      </w:r>
      <w:r w:rsidR="00A06E4C">
        <w:t xml:space="preserve">presented to the public. </w:t>
      </w:r>
    </w:p>
    <w:p w:rsidR="005F75D3" w:rsidRPr="00240265" w:rsidRDefault="00A06E4C" w:rsidP="003540FB">
      <w:pPr>
        <w:pStyle w:val="CMFBText"/>
      </w:pPr>
      <w:r>
        <w:t xml:space="preserve"> </w:t>
      </w:r>
    </w:p>
    <w:p w:rsidR="003540FB" w:rsidRDefault="005F75D3" w:rsidP="003540FB">
      <w:pPr>
        <w:pStyle w:val="CMFBText"/>
      </w:pPr>
      <w:r w:rsidRPr="00240265">
        <w:t xml:space="preserve">More information on </w:t>
      </w:r>
      <w:r w:rsidR="00A06E4C">
        <w:t>the Czech Republic</w:t>
      </w:r>
      <w:r w:rsidR="001B17B4">
        <w:t>’s</w:t>
      </w:r>
      <w:r w:rsidRPr="00240265">
        <w:t xml:space="preserve"> balance of payments data can be found on the</w:t>
      </w:r>
      <w:r w:rsidR="00EA3A65">
        <w:t> </w:t>
      </w:r>
      <w:r w:rsidRPr="00240265">
        <w:t xml:space="preserve">website of the </w:t>
      </w:r>
      <w:r w:rsidR="00A06E4C">
        <w:t>Czech National Bank</w:t>
      </w:r>
      <w:r w:rsidRPr="00240265">
        <w:t>:</w:t>
      </w:r>
    </w:p>
    <w:p w:rsidR="00A06E4C" w:rsidRPr="00240265" w:rsidRDefault="00731863" w:rsidP="003540FB">
      <w:pPr>
        <w:pStyle w:val="CMFBText"/>
      </w:pPr>
      <w:hyperlink r:id="rId28" w:history="1"/>
      <w:r>
        <w:rPr>
          <w:rStyle w:val="Hypertextovodkaz"/>
        </w:rPr>
        <w:t xml:space="preserve"> </w:t>
      </w:r>
    </w:p>
    <w:p w:rsidR="00731863" w:rsidRDefault="00731863" w:rsidP="003540FB">
      <w:pPr>
        <w:pStyle w:val="CMFBText"/>
      </w:pPr>
      <w:hyperlink r:id="rId29" w:history="1">
        <w:r w:rsidRPr="002E7D9B">
          <w:rPr>
            <w:rStyle w:val="Hypertextovodkaz"/>
          </w:rPr>
          <w:t>https://www.cnb.cz/</w:t>
        </w:r>
        <w:bookmarkStart w:id="2" w:name="_GoBack"/>
        <w:bookmarkEnd w:id="2"/>
        <w:r w:rsidRPr="002E7D9B">
          <w:rPr>
            <w:rStyle w:val="Hypertextovodkaz"/>
          </w:rPr>
          <w:t>en/statistics/bop_stat/</w:t>
        </w:r>
      </w:hyperlink>
    </w:p>
    <w:p w:rsidR="005F75D3" w:rsidRPr="00240265" w:rsidRDefault="00A06E4C" w:rsidP="003540FB">
      <w:pPr>
        <w:pStyle w:val="CMFBText"/>
      </w:pPr>
      <w:r>
        <w:t xml:space="preserve"> </w:t>
      </w:r>
    </w:p>
    <w:p w:rsidR="005F75D3" w:rsidRPr="00240265" w:rsidRDefault="001B17B4" w:rsidP="003540FB">
      <w:pPr>
        <w:pStyle w:val="CMFBText"/>
      </w:pPr>
      <w:r>
        <w:t>The d</w:t>
      </w:r>
      <w:r w:rsidR="005F75D3" w:rsidRPr="00240265">
        <w:t>ata</w:t>
      </w:r>
      <w:r w:rsidR="0055363F">
        <w:t xml:space="preserve"> </w:t>
      </w:r>
      <w:r w:rsidR="005F75D3" w:rsidRPr="00240265">
        <w:t xml:space="preserve">can be accessed and downloaded via the </w:t>
      </w:r>
      <w:hyperlink r:id="rId30" w:history="1">
        <w:r w:rsidR="00731863" w:rsidRPr="00731863">
          <w:rPr>
            <w:rStyle w:val="Hypertextovodkaz"/>
          </w:rPr>
          <w:t>ARAD database</w:t>
        </w:r>
      </w:hyperlink>
      <w:r w:rsidR="00731863">
        <w:t>.</w:t>
      </w:r>
    </w:p>
    <w:p w:rsidR="005F75D3" w:rsidRDefault="00731863" w:rsidP="003540FB">
      <w:pPr>
        <w:pStyle w:val="CMFBText"/>
      </w:pPr>
      <w:hyperlink r:id="rId31" w:history="1"/>
      <w:r>
        <w:rPr>
          <w:rStyle w:val="Hypertextovodkaz"/>
        </w:rPr>
        <w:t xml:space="preserve"> </w:t>
      </w:r>
    </w:p>
    <w:p w:rsidR="00A06E4C" w:rsidRPr="00240265" w:rsidRDefault="00782033" w:rsidP="003540FB">
      <w:pPr>
        <w:pStyle w:val="CMFBText"/>
      </w:pPr>
      <w:r>
        <w:t xml:space="preserve"> </w:t>
      </w:r>
    </w:p>
    <w:p w:rsidR="005F75D3" w:rsidRPr="00D82236" w:rsidRDefault="005F75D3" w:rsidP="00FC223E">
      <w:pPr>
        <w:pStyle w:val="Nadpis4"/>
        <w:numPr>
          <w:ilvl w:val="3"/>
          <w:numId w:val="69"/>
        </w:numPr>
        <w:spacing w:before="240" w:after="240" w:line="240" w:lineRule="auto"/>
      </w:pPr>
      <w:r w:rsidRPr="00FC223E">
        <w:rPr>
          <w:i w:val="0"/>
        </w:rPr>
        <w:t>International investment position</w:t>
      </w:r>
    </w:p>
    <w:p w:rsidR="005F75D3" w:rsidRPr="00240265" w:rsidRDefault="005F75D3" w:rsidP="003540FB">
      <w:pPr>
        <w:pStyle w:val="CMFBText"/>
      </w:pPr>
      <w:r w:rsidRPr="00240265">
        <w:t xml:space="preserve">The </w:t>
      </w:r>
      <w:r w:rsidR="001B17B4">
        <w:t>i</w:t>
      </w:r>
      <w:r w:rsidR="00A06E4C">
        <w:t xml:space="preserve">nternational </w:t>
      </w:r>
      <w:r w:rsidR="00574B03">
        <w:t>i</w:t>
      </w:r>
      <w:r w:rsidR="00A06E4C">
        <w:t>nvestment position is available on a quarterly basis</w:t>
      </w:r>
      <w:r w:rsidRPr="00240265">
        <w:t>.</w:t>
      </w:r>
    </w:p>
    <w:p w:rsidR="003540FB" w:rsidRDefault="005F75D3" w:rsidP="003540FB">
      <w:pPr>
        <w:pStyle w:val="CMFBText"/>
      </w:pPr>
      <w:r w:rsidRPr="00240265">
        <w:t xml:space="preserve">More information on </w:t>
      </w:r>
      <w:r w:rsidR="00CF1868">
        <w:t xml:space="preserve">the Czech Republic’s </w:t>
      </w:r>
      <w:r w:rsidRPr="00240265">
        <w:t>international investment position data</w:t>
      </w:r>
      <w:r w:rsidR="00A06E4C">
        <w:t xml:space="preserve"> </w:t>
      </w:r>
      <w:r w:rsidRPr="00240265">
        <w:t xml:space="preserve">can be found on the website of the </w:t>
      </w:r>
      <w:r w:rsidR="00A06E4C">
        <w:t>Czech National Bank</w:t>
      </w:r>
      <w:r w:rsidRPr="00240265">
        <w:t>:</w:t>
      </w:r>
    </w:p>
    <w:p w:rsidR="00BE5EE3" w:rsidRPr="00240265" w:rsidRDefault="00731863" w:rsidP="003540FB">
      <w:pPr>
        <w:pStyle w:val="CMFBText"/>
      </w:pPr>
      <w:hyperlink r:id="rId32" w:history="1"/>
      <w:r>
        <w:rPr>
          <w:rStyle w:val="Hypertextovodkaz"/>
        </w:rPr>
        <w:t xml:space="preserve"> </w:t>
      </w:r>
    </w:p>
    <w:p w:rsidR="005F75D3" w:rsidRDefault="00BE5EE3" w:rsidP="003540FB">
      <w:pPr>
        <w:pStyle w:val="CMFBText"/>
      </w:pPr>
      <w:r>
        <w:t xml:space="preserve"> </w:t>
      </w:r>
      <w:hyperlink r:id="rId33" w:history="1">
        <w:r w:rsidR="00731863" w:rsidRPr="002E7D9B">
          <w:rPr>
            <w:rStyle w:val="Hypertextovodkaz"/>
          </w:rPr>
          <w:t>https://www.cnb.cz/en/statistics/bop_stat/</w:t>
        </w:r>
      </w:hyperlink>
    </w:p>
    <w:p w:rsidR="00731863" w:rsidRPr="00240265" w:rsidRDefault="00731863" w:rsidP="003540FB">
      <w:pPr>
        <w:pStyle w:val="CMFBText"/>
      </w:pPr>
    </w:p>
    <w:p w:rsidR="005F75D3" w:rsidRDefault="00CF1868" w:rsidP="003540FB">
      <w:pPr>
        <w:pStyle w:val="CMFBText"/>
      </w:pPr>
      <w:r>
        <w:t>The d</w:t>
      </w:r>
      <w:r w:rsidR="005F75D3" w:rsidRPr="00240265">
        <w:t xml:space="preserve">ata can be accessed and downloaded via the </w:t>
      </w:r>
      <w:hyperlink r:id="rId34" w:history="1">
        <w:r w:rsidR="00731863" w:rsidRPr="00731863">
          <w:rPr>
            <w:rStyle w:val="Hypertextovodkaz"/>
          </w:rPr>
          <w:t>ARAD database</w:t>
        </w:r>
      </w:hyperlink>
      <w:r w:rsidR="00731863">
        <w:t>.</w:t>
      </w:r>
    </w:p>
    <w:p w:rsidR="00BE5EE3" w:rsidRPr="00240265" w:rsidRDefault="00731863" w:rsidP="003540FB">
      <w:pPr>
        <w:pStyle w:val="CMFBText"/>
      </w:pPr>
      <w:hyperlink r:id="rId35" w:history="1"/>
      <w:r>
        <w:rPr>
          <w:rStyle w:val="Hypertextovodkaz"/>
        </w:rPr>
        <w:t xml:space="preserve"> </w:t>
      </w:r>
    </w:p>
    <w:p w:rsidR="005F75D3" w:rsidRPr="00240265" w:rsidRDefault="00731863" w:rsidP="003540FB">
      <w:pPr>
        <w:pStyle w:val="CMFBText"/>
        <w:rPr>
          <w:rStyle w:val="Hypertextovodkaz"/>
        </w:rPr>
      </w:pPr>
      <w:hyperlink r:id="rId36" w:history="1"/>
      <w:r w:rsidR="00BE5EE3">
        <w:rPr>
          <w:rStyle w:val="Hypertextovodkaz"/>
        </w:rPr>
        <w:t xml:space="preserve"> </w:t>
      </w:r>
    </w:p>
    <w:p w:rsidR="00DD47E3" w:rsidRPr="00A323BF" w:rsidRDefault="00DD47E3" w:rsidP="00DD47E3">
      <w:pPr>
        <w:pStyle w:val="Nadpis3"/>
        <w:ind w:left="709" w:hanging="709"/>
        <w:rPr>
          <w:i/>
          <w:u w:val="none"/>
        </w:rPr>
      </w:pPr>
      <w:r>
        <w:rPr>
          <w:i/>
          <w:u w:val="none"/>
        </w:rPr>
        <w:t>Metadata</w:t>
      </w:r>
    </w:p>
    <w:p w:rsidR="00DD47E3" w:rsidRDefault="00DD47E3">
      <w:pPr>
        <w:spacing w:after="0" w:line="240" w:lineRule="auto"/>
      </w:pPr>
    </w:p>
    <w:p w:rsidR="00CB4752" w:rsidRPr="00240265" w:rsidRDefault="00DD47E3" w:rsidP="00867C69">
      <w:pPr>
        <w:spacing w:after="0" w:line="240" w:lineRule="auto"/>
      </w:pPr>
      <w:r w:rsidRPr="00FC223E">
        <w:rPr>
          <w:rFonts w:ascii="Times New Roman" w:hAnsi="Times New Roman"/>
          <w:sz w:val="24"/>
          <w:szCs w:val="24"/>
        </w:rPr>
        <w:t>See previous sub-section</w:t>
      </w:r>
      <w:bookmarkStart w:id="3" w:name="_Toc409714520"/>
      <w:bookmarkStart w:id="4" w:name="_Toc409714734"/>
      <w:bookmarkStart w:id="5" w:name="_Toc409714521"/>
      <w:bookmarkStart w:id="6" w:name="_Toc409714735"/>
      <w:bookmarkStart w:id="7" w:name="_Toc409714522"/>
      <w:bookmarkStart w:id="8" w:name="_Toc409714736"/>
      <w:bookmarkStart w:id="9" w:name="_Toc409714523"/>
      <w:bookmarkStart w:id="10" w:name="_Toc409714737"/>
      <w:bookmarkStart w:id="11" w:name="_Toc409714524"/>
      <w:bookmarkStart w:id="12" w:name="_Toc409714738"/>
      <w:bookmarkStart w:id="13" w:name="_Toc409714525"/>
      <w:bookmarkStart w:id="14" w:name="_Toc409714739"/>
      <w:bookmarkStart w:id="15" w:name="_Toc409714526"/>
      <w:bookmarkStart w:id="16" w:name="_Toc409714740"/>
      <w:bookmarkStart w:id="17" w:name="_Toc409714527"/>
      <w:bookmarkStart w:id="18" w:name="_Toc409714741"/>
      <w:bookmarkStart w:id="19" w:name="_Toc409714528"/>
      <w:bookmarkStart w:id="20" w:name="_Toc409714742"/>
      <w:bookmarkStart w:id="21" w:name="_Toc409714529"/>
      <w:bookmarkStart w:id="22" w:name="_Toc409714743"/>
      <w:bookmarkStart w:id="23" w:name="_Toc409714530"/>
      <w:bookmarkStart w:id="24" w:name="_Toc409714744"/>
      <w:bookmarkStart w:id="25" w:name="_Toc409714531"/>
      <w:bookmarkStart w:id="26" w:name="_Toc409714745"/>
      <w:bookmarkStart w:id="27" w:name="_Toc409714532"/>
      <w:bookmarkStart w:id="28" w:name="_Toc409714746"/>
      <w:bookmarkStart w:id="29" w:name="_Toc409714533"/>
      <w:bookmarkStart w:id="30" w:name="_Toc40971474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CB4752" w:rsidRPr="00240265">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F5" w:rsidRDefault="00A73DF5" w:rsidP="005657E0">
      <w:pPr>
        <w:spacing w:after="0" w:line="240" w:lineRule="auto"/>
      </w:pPr>
      <w:r>
        <w:separator/>
      </w:r>
    </w:p>
  </w:endnote>
  <w:endnote w:type="continuationSeparator" w:id="0">
    <w:p w:rsidR="00A73DF5" w:rsidRDefault="00A73DF5" w:rsidP="0056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DA" w:rsidRDefault="009561D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FF" w:rsidRPr="009561DA" w:rsidRDefault="00120AFF" w:rsidP="009561D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DA" w:rsidRDefault="009561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F5" w:rsidRDefault="00A73DF5" w:rsidP="005657E0">
      <w:pPr>
        <w:spacing w:after="0" w:line="240" w:lineRule="auto"/>
      </w:pPr>
      <w:r>
        <w:separator/>
      </w:r>
    </w:p>
  </w:footnote>
  <w:footnote w:type="continuationSeparator" w:id="0">
    <w:p w:rsidR="00A73DF5" w:rsidRDefault="00A73DF5" w:rsidP="00565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DA" w:rsidRDefault="009561D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DA" w:rsidRDefault="009561D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1DA" w:rsidRDefault="009561D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003"/>
    <w:multiLevelType w:val="hybridMultilevel"/>
    <w:tmpl w:val="479ECB06"/>
    <w:lvl w:ilvl="0" w:tplc="D4CE7050">
      <w:start w:val="7"/>
      <w:numFmt w:val="bullet"/>
      <w:lvlText w:val="-"/>
      <w:lvlJc w:val="left"/>
      <w:pPr>
        <w:ind w:left="927"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10775E"/>
    <w:multiLevelType w:val="hybridMultilevel"/>
    <w:tmpl w:val="ED5A5624"/>
    <w:lvl w:ilvl="0" w:tplc="46D021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947F5"/>
    <w:multiLevelType w:val="multilevel"/>
    <w:tmpl w:val="7DE2D7D0"/>
    <w:lvl w:ilvl="0">
      <w:start w:val="1"/>
      <w:numFmt w:val="decimal"/>
      <w:lvlText w:val="%1."/>
      <w:lvlJc w:val="left"/>
      <w:pPr>
        <w:ind w:left="567" w:hanging="567"/>
      </w:pPr>
    </w:lvl>
    <w:lvl w:ilvl="1">
      <w:start w:val="1"/>
      <w:numFmt w:val="decimal"/>
      <w:lvlText w:val="%1.%2."/>
      <w:lvlJc w:val="left"/>
      <w:pPr>
        <w:ind w:left="567" w:hanging="567"/>
      </w:pPr>
    </w:lvl>
    <w:lvl w:ilvl="2">
      <w:start w:val="1"/>
      <w:numFmt w:val="upperLetter"/>
      <w:lvlText w:val="%3."/>
      <w:lvlJc w:val="left"/>
      <w:pPr>
        <w:ind w:left="567" w:hanging="567"/>
      </w:pPr>
    </w:lvl>
    <w:lvl w:ilvl="3">
      <w:start w:val="1"/>
      <w:numFmt w:val="decimal"/>
      <w:lvlRestart w:val="0"/>
      <w:lvlText w:val="(%4)"/>
      <w:lvlJc w:val="left"/>
      <w:pPr>
        <w:ind w:left="567" w:hanging="567"/>
      </w:pPr>
      <w:rPr>
        <w:i w:val="0"/>
      </w:rPr>
    </w:lvl>
    <w:lvl w:ilvl="4">
      <w:start w:val="1"/>
      <w:numFmt w:val="lowerLetter"/>
      <w:lvlText w:val="(%5)"/>
      <w:lvlJc w:val="left"/>
      <w:pPr>
        <w:ind w:left="567" w:hanging="567"/>
      </w:pPr>
    </w:lvl>
    <w:lvl w:ilvl="5">
      <w:start w:val="1"/>
      <w:numFmt w:val="lowerRoman"/>
      <w:lvlText w:val="(%6)"/>
      <w:lvlJc w:val="left"/>
      <w:pPr>
        <w:ind w:left="567" w:hanging="567"/>
      </w:pPr>
    </w:lvl>
    <w:lvl w:ilvl="6">
      <w:start w:val="1"/>
      <w:numFmt w:val="decimal"/>
      <w:lvlText w:val="%7."/>
      <w:lvlJc w:val="left"/>
      <w:pPr>
        <w:ind w:left="567" w:hanging="567"/>
      </w:pPr>
    </w:lvl>
    <w:lvl w:ilvl="7">
      <w:start w:val="1"/>
      <w:numFmt w:val="lowerLetter"/>
      <w:lvlText w:val="%8."/>
      <w:lvlJc w:val="left"/>
      <w:pPr>
        <w:ind w:left="567" w:hanging="567"/>
      </w:pPr>
    </w:lvl>
    <w:lvl w:ilvl="8">
      <w:start w:val="1"/>
      <w:numFmt w:val="lowerRoman"/>
      <w:lvlText w:val="%9."/>
      <w:lvlJc w:val="left"/>
      <w:pPr>
        <w:ind w:left="567" w:hanging="567"/>
      </w:pPr>
    </w:lvl>
  </w:abstractNum>
  <w:abstractNum w:abstractNumId="3">
    <w:nsid w:val="1AD464DA"/>
    <w:multiLevelType w:val="multilevel"/>
    <w:tmpl w:val="1548E4A8"/>
    <w:styleLink w:val="Style1"/>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Restart w:val="0"/>
      <w:lvlText w:val="(%4)"/>
      <w:lvlJc w:val="left"/>
      <w:pPr>
        <w:ind w:left="567" w:hanging="567"/>
      </w:pPr>
      <w:rPr>
        <w:rFonts w:hint="default"/>
        <w:i w:val="0"/>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nsid w:val="20A210BB"/>
    <w:multiLevelType w:val="hybridMultilevel"/>
    <w:tmpl w:val="625619D0"/>
    <w:lvl w:ilvl="0" w:tplc="A74A30B6">
      <w:numFmt w:val="bullet"/>
      <w:pStyle w:val="CMFBBullet"/>
      <w:lvlText w:val="–"/>
      <w:lvlJc w:val="left"/>
      <w:pPr>
        <w:ind w:left="719" w:hanging="360"/>
      </w:pPr>
      <w:rPr>
        <w:rFonts w:ascii="Times New Roman" w:eastAsia="Times New Roman" w:hAnsi="Times New Roman" w:cs="Times New Roman" w:hint="default"/>
        <w:color w:val="auto"/>
        <w:sz w:val="18"/>
        <w:szCs w:val="18"/>
      </w:rPr>
    </w:lvl>
    <w:lvl w:ilvl="1" w:tplc="08090003">
      <w:start w:val="1"/>
      <w:numFmt w:val="bullet"/>
      <w:lvlText w:val="o"/>
      <w:lvlJc w:val="left"/>
      <w:pPr>
        <w:ind w:left="1439" w:hanging="360"/>
      </w:pPr>
      <w:rPr>
        <w:rFonts w:ascii="Courier New" w:hAnsi="Courier New" w:cs="Courier New" w:hint="default"/>
      </w:rPr>
    </w:lvl>
    <w:lvl w:ilvl="2" w:tplc="08090005">
      <w:start w:val="1"/>
      <w:numFmt w:val="bullet"/>
      <w:lvlText w:val=""/>
      <w:lvlJc w:val="left"/>
      <w:pPr>
        <w:ind w:left="2159" w:hanging="360"/>
      </w:pPr>
      <w:rPr>
        <w:rFonts w:ascii="Wingdings" w:hAnsi="Wingdings" w:hint="default"/>
      </w:rPr>
    </w:lvl>
    <w:lvl w:ilvl="3" w:tplc="08090001">
      <w:start w:val="1"/>
      <w:numFmt w:val="bullet"/>
      <w:lvlText w:val=""/>
      <w:lvlJc w:val="left"/>
      <w:pPr>
        <w:ind w:left="2879" w:hanging="360"/>
      </w:pPr>
      <w:rPr>
        <w:rFonts w:ascii="Symbol" w:hAnsi="Symbol" w:hint="default"/>
      </w:rPr>
    </w:lvl>
    <w:lvl w:ilvl="4" w:tplc="08090003">
      <w:start w:val="1"/>
      <w:numFmt w:val="bullet"/>
      <w:lvlText w:val="o"/>
      <w:lvlJc w:val="left"/>
      <w:pPr>
        <w:ind w:left="3599" w:hanging="360"/>
      </w:pPr>
      <w:rPr>
        <w:rFonts w:ascii="Courier New" w:hAnsi="Courier New" w:cs="Courier New" w:hint="default"/>
      </w:rPr>
    </w:lvl>
    <w:lvl w:ilvl="5" w:tplc="08090005">
      <w:start w:val="1"/>
      <w:numFmt w:val="bullet"/>
      <w:lvlText w:val=""/>
      <w:lvlJc w:val="left"/>
      <w:pPr>
        <w:ind w:left="4319" w:hanging="360"/>
      </w:pPr>
      <w:rPr>
        <w:rFonts w:ascii="Wingdings" w:hAnsi="Wingdings" w:hint="default"/>
      </w:rPr>
    </w:lvl>
    <w:lvl w:ilvl="6" w:tplc="08090001">
      <w:start w:val="1"/>
      <w:numFmt w:val="bullet"/>
      <w:lvlText w:val=""/>
      <w:lvlJc w:val="left"/>
      <w:pPr>
        <w:ind w:left="5039" w:hanging="360"/>
      </w:pPr>
      <w:rPr>
        <w:rFonts w:ascii="Symbol" w:hAnsi="Symbol" w:hint="default"/>
      </w:rPr>
    </w:lvl>
    <w:lvl w:ilvl="7" w:tplc="08090003">
      <w:start w:val="1"/>
      <w:numFmt w:val="bullet"/>
      <w:lvlText w:val="o"/>
      <w:lvlJc w:val="left"/>
      <w:pPr>
        <w:ind w:left="5759" w:hanging="360"/>
      </w:pPr>
      <w:rPr>
        <w:rFonts w:ascii="Courier New" w:hAnsi="Courier New" w:cs="Courier New" w:hint="default"/>
      </w:rPr>
    </w:lvl>
    <w:lvl w:ilvl="8" w:tplc="08090005">
      <w:start w:val="1"/>
      <w:numFmt w:val="bullet"/>
      <w:lvlText w:val=""/>
      <w:lvlJc w:val="left"/>
      <w:pPr>
        <w:ind w:left="6479" w:hanging="360"/>
      </w:pPr>
      <w:rPr>
        <w:rFonts w:ascii="Wingdings" w:hAnsi="Wingdings" w:hint="default"/>
      </w:rPr>
    </w:lvl>
  </w:abstractNum>
  <w:abstractNum w:abstractNumId="5">
    <w:nsid w:val="214F1EF2"/>
    <w:multiLevelType w:val="hybridMultilevel"/>
    <w:tmpl w:val="C5189CBC"/>
    <w:lvl w:ilvl="0" w:tplc="3968A7E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24111E"/>
    <w:multiLevelType w:val="multilevel"/>
    <w:tmpl w:val="03AAE4EC"/>
    <w:styleLink w:val="CMFBTGreportnumbering"/>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709" w:hanging="567"/>
      </w:pPr>
      <w:rPr>
        <w:rFonts w:hint="default"/>
      </w:rPr>
    </w:lvl>
    <w:lvl w:ilvl="2">
      <w:start w:val="1"/>
      <w:numFmt w:val="decimal"/>
      <w:pStyle w:val="Nadpis3"/>
      <w:lvlText w:val="%1.%2.%3"/>
      <w:lvlJc w:val="left"/>
      <w:pPr>
        <w:ind w:left="2127" w:hanging="567"/>
      </w:pPr>
      <w:rPr>
        <w:rFonts w:hint="default"/>
      </w:rPr>
    </w:lvl>
    <w:lvl w:ilvl="3">
      <w:start w:val="1"/>
      <w:numFmt w:val="upperLetter"/>
      <w:lvlRestart w:val="0"/>
      <w:pStyle w:val="Nadpis4"/>
      <w:lvlText w:val="%4."/>
      <w:lvlJc w:val="left"/>
      <w:pPr>
        <w:ind w:left="567" w:hanging="567"/>
      </w:pPr>
      <w:rPr>
        <w:rFonts w:hint="default"/>
        <w:i w:val="0"/>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nsid w:val="296B2186"/>
    <w:multiLevelType w:val="multilevel"/>
    <w:tmpl w:val="03AAE4EC"/>
    <w:numStyleLink w:val="CMFBTGreportnumbering"/>
  </w:abstractNum>
  <w:abstractNum w:abstractNumId="8">
    <w:nsid w:val="31071A4C"/>
    <w:multiLevelType w:val="hybridMultilevel"/>
    <w:tmpl w:val="2DC8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D71045"/>
    <w:multiLevelType w:val="hybridMultilevel"/>
    <w:tmpl w:val="FD2070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F3483D"/>
    <w:multiLevelType w:val="multilevel"/>
    <w:tmpl w:val="2962EB7A"/>
    <w:styleLink w:val="List0"/>
    <w:lvl w:ilvl="0">
      <w:start w:val="1"/>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1">
    <w:nsid w:val="53193FB2"/>
    <w:multiLevelType w:val="hybridMultilevel"/>
    <w:tmpl w:val="A83695BE"/>
    <w:lvl w:ilvl="0" w:tplc="D4CE7050">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8A55F35"/>
    <w:multiLevelType w:val="hybridMultilevel"/>
    <w:tmpl w:val="039E3B30"/>
    <w:lvl w:ilvl="0" w:tplc="01B24B56">
      <w:start w:val="1"/>
      <w:numFmt w:val="upperRoman"/>
      <w:pStyle w:val="CMFBTitle"/>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C86523"/>
    <w:multiLevelType w:val="hybridMultilevel"/>
    <w:tmpl w:val="1DA25244"/>
    <w:lvl w:ilvl="0" w:tplc="5B3A56EE">
      <w:start w:val="1"/>
      <w:numFmt w:val="decimal"/>
      <w:pStyle w:val="CMFB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F5685B"/>
    <w:multiLevelType w:val="hybridMultilevel"/>
    <w:tmpl w:val="565C5D86"/>
    <w:lvl w:ilvl="0" w:tplc="E056040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C0C34C5"/>
    <w:multiLevelType w:val="hybridMultilevel"/>
    <w:tmpl w:val="F3D0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3"/>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3"/>
  </w:num>
  <w:num w:numId="13">
    <w:abstractNumId w:val="6"/>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num>
  <w:num w:numId="43">
    <w:abstractNumId w:val="7"/>
  </w:num>
  <w:num w:numId="44">
    <w:abstractNumId w:val="7"/>
    <w:lvlOverride w:ilvl="0">
      <w:startOverride w:val="1"/>
    </w:lvlOverride>
    <w:lvlOverride w:ilvl="1">
      <w:startOverride w:val="1"/>
    </w:lvlOverride>
    <w:lvlOverride w:ilvl="2">
      <w:startOverride w:val="1"/>
    </w:lvlOverride>
    <w:lvlOverride w:ilvl="3">
      <w:startOverride w:val="1"/>
    </w:lvlOverride>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lvlOverride w:ilvl="0">
      <w:startOverride w:val="1"/>
    </w:lvlOverride>
    <w:lvlOverride w:ilvl="1">
      <w:startOverride w:val="1"/>
    </w:lvlOverride>
    <w:lvlOverride w:ilvl="2">
      <w:startOverride w:val="1"/>
    </w:lvlOverride>
    <w:lvlOverride w:ilvl="3">
      <w:startOverride w:val="1"/>
    </w:lvlOverride>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lvlOverride w:ilvl="0">
      <w:startOverride w:val="1"/>
    </w:lvlOverride>
    <w:lvlOverride w:ilvl="1">
      <w:startOverride w:val="1"/>
    </w:lvlOverride>
    <w:lvlOverride w:ilvl="2">
      <w:startOverride w:val="1"/>
    </w:lvlOverride>
    <w:lvlOverride w:ilvl="3">
      <w:startOverride w:val="1"/>
    </w:lvlOverride>
  </w:num>
  <w:num w:numId="66">
    <w:abstractNumId w:val="7"/>
  </w:num>
  <w:num w:numId="67">
    <w:abstractNumId w:val="7"/>
  </w:num>
  <w:num w:numId="68">
    <w:abstractNumId w:val="7"/>
  </w:num>
  <w:num w:numId="69">
    <w:abstractNumId w:val="7"/>
    <w:lvlOverride w:ilvl="0">
      <w:startOverride w:val="1"/>
    </w:lvlOverride>
    <w:lvlOverride w:ilvl="1">
      <w:startOverride w:val="1"/>
    </w:lvlOverride>
    <w:lvlOverride w:ilvl="2">
      <w:startOverride w:val="1"/>
    </w:lvlOverride>
    <w:lvlOverride w:ilvl="3">
      <w:startOverride w:val="1"/>
    </w:lvlOverride>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7"/>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9"/>
  </w:num>
  <w:num w:numId="107">
    <w:abstractNumId w:val="7"/>
  </w:num>
  <w:num w:numId="1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
  </w:num>
  <w:num w:numId="110">
    <w:abstractNumId w:val="5"/>
  </w:num>
  <w:num w:numId="111">
    <w:abstractNumId w:val="1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5ACC"/>
    <w:rsid w:val="000039CE"/>
    <w:rsid w:val="000042FD"/>
    <w:rsid w:val="000052D8"/>
    <w:rsid w:val="00013804"/>
    <w:rsid w:val="00015155"/>
    <w:rsid w:val="00025E07"/>
    <w:rsid w:val="0003339F"/>
    <w:rsid w:val="00041595"/>
    <w:rsid w:val="00043D5A"/>
    <w:rsid w:val="0005170C"/>
    <w:rsid w:val="00075A67"/>
    <w:rsid w:val="00081A10"/>
    <w:rsid w:val="000A0D5E"/>
    <w:rsid w:val="000A1144"/>
    <w:rsid w:val="000A523A"/>
    <w:rsid w:val="000C0A02"/>
    <w:rsid w:val="000D628F"/>
    <w:rsid w:val="000D67B3"/>
    <w:rsid w:val="000E5DBE"/>
    <w:rsid w:val="000E642F"/>
    <w:rsid w:val="000F5BB3"/>
    <w:rsid w:val="000F6C30"/>
    <w:rsid w:val="00101BCE"/>
    <w:rsid w:val="00103715"/>
    <w:rsid w:val="00120AFF"/>
    <w:rsid w:val="00121EA3"/>
    <w:rsid w:val="00136852"/>
    <w:rsid w:val="00140C11"/>
    <w:rsid w:val="0015719C"/>
    <w:rsid w:val="00157579"/>
    <w:rsid w:val="00163E27"/>
    <w:rsid w:val="00170720"/>
    <w:rsid w:val="001736CB"/>
    <w:rsid w:val="00175384"/>
    <w:rsid w:val="00177EE1"/>
    <w:rsid w:val="00183280"/>
    <w:rsid w:val="0019181F"/>
    <w:rsid w:val="001A43C2"/>
    <w:rsid w:val="001B17B4"/>
    <w:rsid w:val="001B6366"/>
    <w:rsid w:val="001C5D9A"/>
    <w:rsid w:val="001D40AA"/>
    <w:rsid w:val="001E5497"/>
    <w:rsid w:val="001E6967"/>
    <w:rsid w:val="001F6A8F"/>
    <w:rsid w:val="001F7AC9"/>
    <w:rsid w:val="00201356"/>
    <w:rsid w:val="00202617"/>
    <w:rsid w:val="00204960"/>
    <w:rsid w:val="002109C0"/>
    <w:rsid w:val="00210B67"/>
    <w:rsid w:val="00216C65"/>
    <w:rsid w:val="00240265"/>
    <w:rsid w:val="002420DF"/>
    <w:rsid w:val="00244A64"/>
    <w:rsid w:val="0024788B"/>
    <w:rsid w:val="0025780B"/>
    <w:rsid w:val="0026455E"/>
    <w:rsid w:val="0028075C"/>
    <w:rsid w:val="00280E9E"/>
    <w:rsid w:val="002874F0"/>
    <w:rsid w:val="00291763"/>
    <w:rsid w:val="002A0D32"/>
    <w:rsid w:val="002E280F"/>
    <w:rsid w:val="002E4EB6"/>
    <w:rsid w:val="002F18D0"/>
    <w:rsid w:val="0030028C"/>
    <w:rsid w:val="00300C83"/>
    <w:rsid w:val="00304573"/>
    <w:rsid w:val="00305DA0"/>
    <w:rsid w:val="00315A96"/>
    <w:rsid w:val="00317649"/>
    <w:rsid w:val="0032138E"/>
    <w:rsid w:val="003214A4"/>
    <w:rsid w:val="0032265A"/>
    <w:rsid w:val="0032623B"/>
    <w:rsid w:val="00330897"/>
    <w:rsid w:val="00331479"/>
    <w:rsid w:val="00334927"/>
    <w:rsid w:val="00334BC0"/>
    <w:rsid w:val="0034006F"/>
    <w:rsid w:val="003415BC"/>
    <w:rsid w:val="00352160"/>
    <w:rsid w:val="003540FB"/>
    <w:rsid w:val="00363083"/>
    <w:rsid w:val="0036490E"/>
    <w:rsid w:val="00375299"/>
    <w:rsid w:val="003814AF"/>
    <w:rsid w:val="0038238F"/>
    <w:rsid w:val="00382920"/>
    <w:rsid w:val="00382DAC"/>
    <w:rsid w:val="003954F3"/>
    <w:rsid w:val="00397236"/>
    <w:rsid w:val="003A1BE7"/>
    <w:rsid w:val="003B5FFF"/>
    <w:rsid w:val="003C2735"/>
    <w:rsid w:val="003C3155"/>
    <w:rsid w:val="003C5761"/>
    <w:rsid w:val="003E4EDE"/>
    <w:rsid w:val="003E6248"/>
    <w:rsid w:val="003E770C"/>
    <w:rsid w:val="003F39B2"/>
    <w:rsid w:val="003F5264"/>
    <w:rsid w:val="00405BFD"/>
    <w:rsid w:val="0041149C"/>
    <w:rsid w:val="004154A4"/>
    <w:rsid w:val="00431C3B"/>
    <w:rsid w:val="00440D25"/>
    <w:rsid w:val="00445AB0"/>
    <w:rsid w:val="00446B8E"/>
    <w:rsid w:val="00452115"/>
    <w:rsid w:val="00455441"/>
    <w:rsid w:val="0045698F"/>
    <w:rsid w:val="004572F5"/>
    <w:rsid w:val="00462B54"/>
    <w:rsid w:val="004631F1"/>
    <w:rsid w:val="00477099"/>
    <w:rsid w:val="00481D66"/>
    <w:rsid w:val="00493C36"/>
    <w:rsid w:val="004942D6"/>
    <w:rsid w:val="004A0D59"/>
    <w:rsid w:val="004A14D1"/>
    <w:rsid w:val="004A15E1"/>
    <w:rsid w:val="004A3B4B"/>
    <w:rsid w:val="004A3F77"/>
    <w:rsid w:val="004B149D"/>
    <w:rsid w:val="004B63F5"/>
    <w:rsid w:val="004C1D06"/>
    <w:rsid w:val="004C790B"/>
    <w:rsid w:val="004D0944"/>
    <w:rsid w:val="004D19E5"/>
    <w:rsid w:val="004D433E"/>
    <w:rsid w:val="004D4E66"/>
    <w:rsid w:val="004D4FF9"/>
    <w:rsid w:val="0050583E"/>
    <w:rsid w:val="00516CAF"/>
    <w:rsid w:val="00520CB5"/>
    <w:rsid w:val="0052224A"/>
    <w:rsid w:val="00525951"/>
    <w:rsid w:val="0053538C"/>
    <w:rsid w:val="00541DE1"/>
    <w:rsid w:val="00550689"/>
    <w:rsid w:val="0055363F"/>
    <w:rsid w:val="00556AEF"/>
    <w:rsid w:val="005657E0"/>
    <w:rsid w:val="00570750"/>
    <w:rsid w:val="005712D2"/>
    <w:rsid w:val="005740C5"/>
    <w:rsid w:val="00574B03"/>
    <w:rsid w:val="00586367"/>
    <w:rsid w:val="00590D27"/>
    <w:rsid w:val="005A5FA3"/>
    <w:rsid w:val="005A78C4"/>
    <w:rsid w:val="005B1B32"/>
    <w:rsid w:val="005B286A"/>
    <w:rsid w:val="005B3359"/>
    <w:rsid w:val="005B77A4"/>
    <w:rsid w:val="005C1018"/>
    <w:rsid w:val="005C12EA"/>
    <w:rsid w:val="005D065F"/>
    <w:rsid w:val="005D1B5B"/>
    <w:rsid w:val="005D3B0D"/>
    <w:rsid w:val="005D70F9"/>
    <w:rsid w:val="005E46ED"/>
    <w:rsid w:val="005E77EF"/>
    <w:rsid w:val="005E7DB7"/>
    <w:rsid w:val="005E7F86"/>
    <w:rsid w:val="005F75D3"/>
    <w:rsid w:val="00601B9A"/>
    <w:rsid w:val="00604642"/>
    <w:rsid w:val="00611FAD"/>
    <w:rsid w:val="00622C84"/>
    <w:rsid w:val="00626A16"/>
    <w:rsid w:val="00634A61"/>
    <w:rsid w:val="00644189"/>
    <w:rsid w:val="006453DD"/>
    <w:rsid w:val="00655ACC"/>
    <w:rsid w:val="00656BB2"/>
    <w:rsid w:val="00656F70"/>
    <w:rsid w:val="00660101"/>
    <w:rsid w:val="006714E7"/>
    <w:rsid w:val="00690EE1"/>
    <w:rsid w:val="00693234"/>
    <w:rsid w:val="006B41D7"/>
    <w:rsid w:val="006B7682"/>
    <w:rsid w:val="006C4EB8"/>
    <w:rsid w:val="006D15BF"/>
    <w:rsid w:val="006E0740"/>
    <w:rsid w:val="007011FA"/>
    <w:rsid w:val="0070419F"/>
    <w:rsid w:val="00712EB6"/>
    <w:rsid w:val="00716EA7"/>
    <w:rsid w:val="00731863"/>
    <w:rsid w:val="007363F8"/>
    <w:rsid w:val="00740319"/>
    <w:rsid w:val="00741061"/>
    <w:rsid w:val="00753430"/>
    <w:rsid w:val="00753E92"/>
    <w:rsid w:val="007602E4"/>
    <w:rsid w:val="0076455F"/>
    <w:rsid w:val="00781103"/>
    <w:rsid w:val="00782033"/>
    <w:rsid w:val="00782953"/>
    <w:rsid w:val="0078628F"/>
    <w:rsid w:val="00792D6F"/>
    <w:rsid w:val="007A2662"/>
    <w:rsid w:val="007A2A23"/>
    <w:rsid w:val="007A5F50"/>
    <w:rsid w:val="007B7FCB"/>
    <w:rsid w:val="007C32C8"/>
    <w:rsid w:val="007D2C17"/>
    <w:rsid w:val="007D3110"/>
    <w:rsid w:val="007E0E95"/>
    <w:rsid w:val="007E13D1"/>
    <w:rsid w:val="00800C36"/>
    <w:rsid w:val="00801543"/>
    <w:rsid w:val="00817727"/>
    <w:rsid w:val="008261C8"/>
    <w:rsid w:val="008334D3"/>
    <w:rsid w:val="0084600E"/>
    <w:rsid w:val="00851BE6"/>
    <w:rsid w:val="00854367"/>
    <w:rsid w:val="00854780"/>
    <w:rsid w:val="008572B2"/>
    <w:rsid w:val="00865973"/>
    <w:rsid w:val="00866630"/>
    <w:rsid w:val="00867C69"/>
    <w:rsid w:val="0087034C"/>
    <w:rsid w:val="0087209C"/>
    <w:rsid w:val="00874C9A"/>
    <w:rsid w:val="00887225"/>
    <w:rsid w:val="00891637"/>
    <w:rsid w:val="00894E11"/>
    <w:rsid w:val="0089776A"/>
    <w:rsid w:val="008A1708"/>
    <w:rsid w:val="008B209C"/>
    <w:rsid w:val="008B78A8"/>
    <w:rsid w:val="008B7D11"/>
    <w:rsid w:val="008C2007"/>
    <w:rsid w:val="008D68CA"/>
    <w:rsid w:val="008F1111"/>
    <w:rsid w:val="008F2D02"/>
    <w:rsid w:val="008F70CF"/>
    <w:rsid w:val="00900523"/>
    <w:rsid w:val="00900815"/>
    <w:rsid w:val="009012CC"/>
    <w:rsid w:val="0091174E"/>
    <w:rsid w:val="009219E4"/>
    <w:rsid w:val="00940D06"/>
    <w:rsid w:val="0094173D"/>
    <w:rsid w:val="00943C6A"/>
    <w:rsid w:val="0095614C"/>
    <w:rsid w:val="009561DA"/>
    <w:rsid w:val="00956B0E"/>
    <w:rsid w:val="00962A96"/>
    <w:rsid w:val="00963105"/>
    <w:rsid w:val="00966B8B"/>
    <w:rsid w:val="00970D63"/>
    <w:rsid w:val="00977A00"/>
    <w:rsid w:val="009813D6"/>
    <w:rsid w:val="00981DBC"/>
    <w:rsid w:val="00985FFC"/>
    <w:rsid w:val="009906E2"/>
    <w:rsid w:val="00991574"/>
    <w:rsid w:val="00995E38"/>
    <w:rsid w:val="009976FE"/>
    <w:rsid w:val="009A1BD5"/>
    <w:rsid w:val="009A54DD"/>
    <w:rsid w:val="009B6FC6"/>
    <w:rsid w:val="009C3443"/>
    <w:rsid w:val="009D517E"/>
    <w:rsid w:val="009D652D"/>
    <w:rsid w:val="009E4B5A"/>
    <w:rsid w:val="00A06E4C"/>
    <w:rsid w:val="00A06E52"/>
    <w:rsid w:val="00A36A37"/>
    <w:rsid w:val="00A6107A"/>
    <w:rsid w:val="00A70435"/>
    <w:rsid w:val="00A71D28"/>
    <w:rsid w:val="00A7335A"/>
    <w:rsid w:val="00A73DF5"/>
    <w:rsid w:val="00A761F8"/>
    <w:rsid w:val="00A8267B"/>
    <w:rsid w:val="00A84EB4"/>
    <w:rsid w:val="00A86E5F"/>
    <w:rsid w:val="00A86FFE"/>
    <w:rsid w:val="00A871DA"/>
    <w:rsid w:val="00AA0F42"/>
    <w:rsid w:val="00AA309C"/>
    <w:rsid w:val="00AB4BFC"/>
    <w:rsid w:val="00AC7CB5"/>
    <w:rsid w:val="00AD6DAE"/>
    <w:rsid w:val="00AF30EF"/>
    <w:rsid w:val="00AF5687"/>
    <w:rsid w:val="00B206DF"/>
    <w:rsid w:val="00B212F3"/>
    <w:rsid w:val="00B248C6"/>
    <w:rsid w:val="00B25147"/>
    <w:rsid w:val="00B35C15"/>
    <w:rsid w:val="00B42277"/>
    <w:rsid w:val="00B527F4"/>
    <w:rsid w:val="00B76A35"/>
    <w:rsid w:val="00B96190"/>
    <w:rsid w:val="00B97D67"/>
    <w:rsid w:val="00BA6011"/>
    <w:rsid w:val="00BA733D"/>
    <w:rsid w:val="00BB108B"/>
    <w:rsid w:val="00BB3352"/>
    <w:rsid w:val="00BC3F70"/>
    <w:rsid w:val="00BD2C8D"/>
    <w:rsid w:val="00BE09BF"/>
    <w:rsid w:val="00BE10DA"/>
    <w:rsid w:val="00BE3A12"/>
    <w:rsid w:val="00BE53C2"/>
    <w:rsid w:val="00BE5EE3"/>
    <w:rsid w:val="00BE63CB"/>
    <w:rsid w:val="00BE7651"/>
    <w:rsid w:val="00C03006"/>
    <w:rsid w:val="00C03379"/>
    <w:rsid w:val="00C060B0"/>
    <w:rsid w:val="00C22637"/>
    <w:rsid w:val="00C267ED"/>
    <w:rsid w:val="00C30A01"/>
    <w:rsid w:val="00C3480C"/>
    <w:rsid w:val="00C35111"/>
    <w:rsid w:val="00C43933"/>
    <w:rsid w:val="00C441F4"/>
    <w:rsid w:val="00C50F95"/>
    <w:rsid w:val="00C60846"/>
    <w:rsid w:val="00C62BB8"/>
    <w:rsid w:val="00C71B38"/>
    <w:rsid w:val="00C73D1C"/>
    <w:rsid w:val="00C853F6"/>
    <w:rsid w:val="00C92E4C"/>
    <w:rsid w:val="00CA1141"/>
    <w:rsid w:val="00CB2017"/>
    <w:rsid w:val="00CB4752"/>
    <w:rsid w:val="00CC3438"/>
    <w:rsid w:val="00CC680F"/>
    <w:rsid w:val="00CC6E76"/>
    <w:rsid w:val="00CD412B"/>
    <w:rsid w:val="00CD5D94"/>
    <w:rsid w:val="00CE7562"/>
    <w:rsid w:val="00CF1868"/>
    <w:rsid w:val="00D02F72"/>
    <w:rsid w:val="00D06FC4"/>
    <w:rsid w:val="00D14E8D"/>
    <w:rsid w:val="00D227A9"/>
    <w:rsid w:val="00D30ED5"/>
    <w:rsid w:val="00D357A0"/>
    <w:rsid w:val="00D4259C"/>
    <w:rsid w:val="00D56B16"/>
    <w:rsid w:val="00D70192"/>
    <w:rsid w:val="00D77DDA"/>
    <w:rsid w:val="00D80EA3"/>
    <w:rsid w:val="00D82236"/>
    <w:rsid w:val="00D84DEB"/>
    <w:rsid w:val="00D92524"/>
    <w:rsid w:val="00D92E56"/>
    <w:rsid w:val="00D94BFF"/>
    <w:rsid w:val="00DA68E6"/>
    <w:rsid w:val="00DC5C6F"/>
    <w:rsid w:val="00DC5C96"/>
    <w:rsid w:val="00DD47E3"/>
    <w:rsid w:val="00DE14B6"/>
    <w:rsid w:val="00DE255A"/>
    <w:rsid w:val="00DE6227"/>
    <w:rsid w:val="00DE7027"/>
    <w:rsid w:val="00DF056B"/>
    <w:rsid w:val="00DF2F62"/>
    <w:rsid w:val="00DF3CC7"/>
    <w:rsid w:val="00DF4DE0"/>
    <w:rsid w:val="00E104CB"/>
    <w:rsid w:val="00E30F3B"/>
    <w:rsid w:val="00E34390"/>
    <w:rsid w:val="00E37145"/>
    <w:rsid w:val="00E403F8"/>
    <w:rsid w:val="00E4245E"/>
    <w:rsid w:val="00E6163D"/>
    <w:rsid w:val="00E64E7B"/>
    <w:rsid w:val="00E65633"/>
    <w:rsid w:val="00E7328A"/>
    <w:rsid w:val="00E76737"/>
    <w:rsid w:val="00E8670D"/>
    <w:rsid w:val="00E87887"/>
    <w:rsid w:val="00E92813"/>
    <w:rsid w:val="00E9321F"/>
    <w:rsid w:val="00E979B4"/>
    <w:rsid w:val="00E97F7B"/>
    <w:rsid w:val="00EA3A65"/>
    <w:rsid w:val="00EA4AC9"/>
    <w:rsid w:val="00EA5EB0"/>
    <w:rsid w:val="00EA6346"/>
    <w:rsid w:val="00EA641C"/>
    <w:rsid w:val="00EB3451"/>
    <w:rsid w:val="00EC7333"/>
    <w:rsid w:val="00ED1305"/>
    <w:rsid w:val="00ED7F3B"/>
    <w:rsid w:val="00EE005F"/>
    <w:rsid w:val="00EE4999"/>
    <w:rsid w:val="00EE4BDE"/>
    <w:rsid w:val="00EF25D8"/>
    <w:rsid w:val="00EF6DDB"/>
    <w:rsid w:val="00F03C63"/>
    <w:rsid w:val="00F15B2A"/>
    <w:rsid w:val="00F24A93"/>
    <w:rsid w:val="00F254B9"/>
    <w:rsid w:val="00F25D91"/>
    <w:rsid w:val="00F26AEC"/>
    <w:rsid w:val="00F34993"/>
    <w:rsid w:val="00F43BBB"/>
    <w:rsid w:val="00F47FBE"/>
    <w:rsid w:val="00F50812"/>
    <w:rsid w:val="00F518FB"/>
    <w:rsid w:val="00F5261C"/>
    <w:rsid w:val="00FA0329"/>
    <w:rsid w:val="00FB2CE2"/>
    <w:rsid w:val="00FB536A"/>
    <w:rsid w:val="00FB614E"/>
    <w:rsid w:val="00FC0160"/>
    <w:rsid w:val="00FC223E"/>
    <w:rsid w:val="00FC4503"/>
    <w:rsid w:val="00FD73FD"/>
    <w:rsid w:val="00FE45DC"/>
    <w:rsid w:val="00FE7BAE"/>
    <w:rsid w:val="00FF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aliases w:val="CMFB Heading 1"/>
    <w:basedOn w:val="Default"/>
    <w:next w:val="Normln"/>
    <w:link w:val="Nadpis1Char"/>
    <w:qFormat/>
    <w:rsid w:val="00A7335A"/>
    <w:pPr>
      <w:keepNext/>
      <w:numPr>
        <w:numId w:val="14"/>
      </w:numPr>
      <w:suppressAutoHyphens/>
      <w:autoSpaceDE/>
      <w:autoSpaceDN/>
      <w:adjustRightInd/>
      <w:spacing w:before="480" w:after="240"/>
      <w:jc w:val="both"/>
      <w:outlineLvl w:val="0"/>
    </w:pPr>
    <w:rPr>
      <w:b/>
      <w:sz w:val="28"/>
      <w:szCs w:val="28"/>
    </w:rPr>
  </w:style>
  <w:style w:type="paragraph" w:styleId="Nadpis2">
    <w:name w:val="heading 2"/>
    <w:aliases w:val="CMFB Heading 2"/>
    <w:basedOn w:val="Normln"/>
    <w:next w:val="Normln"/>
    <w:link w:val="Nadpis2Char"/>
    <w:unhideWhenUsed/>
    <w:qFormat/>
    <w:rsid w:val="00A7335A"/>
    <w:pPr>
      <w:keepNext/>
      <w:numPr>
        <w:ilvl w:val="1"/>
        <w:numId w:val="14"/>
      </w:numPr>
      <w:suppressAutoHyphens/>
      <w:spacing w:before="480" w:after="240" w:line="240" w:lineRule="auto"/>
      <w:jc w:val="both"/>
      <w:outlineLvl w:val="1"/>
    </w:pPr>
    <w:rPr>
      <w:rFonts w:ascii="Times New Roman" w:eastAsia="Times New Roman" w:hAnsi="Times New Roman"/>
      <w:bCs/>
      <w:i/>
      <w:iCs/>
      <w:sz w:val="24"/>
      <w:szCs w:val="24"/>
    </w:rPr>
  </w:style>
  <w:style w:type="paragraph" w:styleId="Nadpis3">
    <w:name w:val="heading 3"/>
    <w:aliases w:val="CMFB Heading 3"/>
    <w:basedOn w:val="Normln"/>
    <w:next w:val="Normln"/>
    <w:link w:val="Nadpis3Char"/>
    <w:unhideWhenUsed/>
    <w:qFormat/>
    <w:rsid w:val="003540FB"/>
    <w:pPr>
      <w:keepNext/>
      <w:numPr>
        <w:ilvl w:val="2"/>
        <w:numId w:val="14"/>
      </w:numPr>
      <w:suppressAutoHyphens/>
      <w:spacing w:before="480" w:after="240" w:line="240" w:lineRule="auto"/>
      <w:jc w:val="both"/>
      <w:outlineLvl w:val="2"/>
    </w:pPr>
    <w:rPr>
      <w:rFonts w:ascii="Times New Roman" w:eastAsiaTheme="majorEastAsia" w:hAnsi="Times New Roman"/>
      <w:bCs/>
      <w:sz w:val="24"/>
      <w:szCs w:val="24"/>
      <w:u w:val="single"/>
    </w:rPr>
  </w:style>
  <w:style w:type="paragraph" w:styleId="Nadpis4">
    <w:name w:val="heading 4"/>
    <w:aliases w:val="CMFB Heading 4"/>
    <w:basedOn w:val="Normln"/>
    <w:next w:val="Normln"/>
    <w:link w:val="Nadpis4Char"/>
    <w:uiPriority w:val="9"/>
    <w:unhideWhenUsed/>
    <w:qFormat/>
    <w:rsid w:val="00A7335A"/>
    <w:pPr>
      <w:keepNext/>
      <w:keepLines/>
      <w:numPr>
        <w:ilvl w:val="3"/>
        <w:numId w:val="14"/>
      </w:numPr>
      <w:spacing w:before="200" w:after="0"/>
      <w:outlineLvl w:val="3"/>
    </w:pPr>
    <w:rPr>
      <w:rFonts w:ascii="Times New Roman" w:eastAsiaTheme="majorEastAsia" w:hAnsi="Times New Roman"/>
      <w:bCs/>
      <w:i/>
      <w:iCs/>
      <w:sz w:val="24"/>
      <w:szCs w:val="24"/>
    </w:rPr>
  </w:style>
  <w:style w:type="paragraph" w:styleId="Nadpis5">
    <w:name w:val="heading 5"/>
    <w:basedOn w:val="Normln"/>
    <w:next w:val="Normln"/>
    <w:link w:val="Nadpis5Char"/>
    <w:uiPriority w:val="9"/>
    <w:unhideWhenUsed/>
    <w:qFormat/>
    <w:rsid w:val="003540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55ACC"/>
    <w:pPr>
      <w:autoSpaceDE w:val="0"/>
      <w:autoSpaceDN w:val="0"/>
      <w:adjustRightInd w:val="0"/>
    </w:pPr>
    <w:rPr>
      <w:rFonts w:ascii="Times New Roman" w:hAnsi="Times New Roman"/>
      <w:color w:val="000000"/>
      <w:sz w:val="24"/>
      <w:szCs w:val="24"/>
    </w:rPr>
  </w:style>
  <w:style w:type="paragraph" w:styleId="Odstavecseseznamem">
    <w:name w:val="List Paragraph"/>
    <w:basedOn w:val="Normln"/>
    <w:uiPriority w:val="34"/>
    <w:qFormat/>
    <w:rsid w:val="00E6163D"/>
    <w:pPr>
      <w:spacing w:after="0" w:line="240" w:lineRule="auto"/>
      <w:ind w:left="720"/>
      <w:contextualSpacing/>
    </w:pPr>
    <w:rPr>
      <w:rFonts w:ascii="Times New Roman" w:eastAsia="Times New Roman" w:hAnsi="Times New Roman"/>
      <w:sz w:val="24"/>
      <w:szCs w:val="24"/>
      <w:lang w:eastAsia="en-GB"/>
    </w:rPr>
  </w:style>
  <w:style w:type="paragraph" w:styleId="Normlnweb">
    <w:name w:val="Normal (Web)"/>
    <w:basedOn w:val="Normln"/>
    <w:uiPriority w:val="99"/>
    <w:semiHidden/>
    <w:unhideWhenUsed/>
    <w:rsid w:val="00AB4BFC"/>
    <w:pPr>
      <w:spacing w:before="100" w:beforeAutospacing="1" w:after="100" w:afterAutospacing="1" w:line="240" w:lineRule="auto"/>
    </w:pPr>
    <w:rPr>
      <w:rFonts w:ascii="Times New Roman" w:eastAsia="Times New Roman" w:hAnsi="Times New Roman"/>
      <w:sz w:val="24"/>
      <w:szCs w:val="24"/>
      <w:lang w:eastAsia="en-GB"/>
    </w:rPr>
  </w:style>
  <w:style w:type="numbering" w:customStyle="1" w:styleId="List0">
    <w:name w:val="List 0"/>
    <w:rsid w:val="00B76A35"/>
    <w:pPr>
      <w:numPr>
        <w:numId w:val="1"/>
      </w:numPr>
    </w:pPr>
  </w:style>
  <w:style w:type="character" w:customStyle="1" w:styleId="Nadpis1Char">
    <w:name w:val="Nadpis 1 Char"/>
    <w:aliases w:val="CMFB Heading 1 Char"/>
    <w:link w:val="Nadpis1"/>
    <w:rsid w:val="00A7335A"/>
    <w:rPr>
      <w:rFonts w:ascii="Times New Roman" w:hAnsi="Times New Roman"/>
      <w:b/>
      <w:color w:val="000000"/>
      <w:sz w:val="28"/>
      <w:szCs w:val="28"/>
    </w:rPr>
  </w:style>
  <w:style w:type="paragraph" w:customStyle="1" w:styleId="CMFBText">
    <w:name w:val="CMFB Text"/>
    <w:basedOn w:val="Normln"/>
    <w:link w:val="CMFBTextChar"/>
    <w:qFormat/>
    <w:rsid w:val="005657E0"/>
    <w:pPr>
      <w:spacing w:before="120" w:after="120" w:line="240" w:lineRule="auto"/>
      <w:jc w:val="both"/>
    </w:pPr>
    <w:rPr>
      <w:rFonts w:ascii="Times New Roman" w:hAnsi="Times New Roman"/>
      <w:sz w:val="24"/>
      <w:szCs w:val="24"/>
    </w:rPr>
  </w:style>
  <w:style w:type="paragraph" w:styleId="Zhlav">
    <w:name w:val="header"/>
    <w:basedOn w:val="Normln"/>
    <w:link w:val="ZhlavChar"/>
    <w:uiPriority w:val="99"/>
    <w:unhideWhenUsed/>
    <w:rsid w:val="005657E0"/>
    <w:pPr>
      <w:tabs>
        <w:tab w:val="center" w:pos="4513"/>
        <w:tab w:val="right" w:pos="9026"/>
      </w:tabs>
    </w:pPr>
  </w:style>
  <w:style w:type="character" w:customStyle="1" w:styleId="CMFBTextChar">
    <w:name w:val="CMFB Text Char"/>
    <w:link w:val="CMFBText"/>
    <w:rsid w:val="005657E0"/>
    <w:rPr>
      <w:rFonts w:ascii="Times New Roman" w:hAnsi="Times New Roman"/>
      <w:sz w:val="24"/>
      <w:szCs w:val="24"/>
      <w:lang w:eastAsia="en-US"/>
    </w:rPr>
  </w:style>
  <w:style w:type="character" w:customStyle="1" w:styleId="ZhlavChar">
    <w:name w:val="Záhlaví Char"/>
    <w:link w:val="Zhlav"/>
    <w:uiPriority w:val="99"/>
    <w:rsid w:val="005657E0"/>
    <w:rPr>
      <w:sz w:val="22"/>
      <w:szCs w:val="22"/>
      <w:lang w:eastAsia="en-US"/>
    </w:rPr>
  </w:style>
  <w:style w:type="paragraph" w:styleId="Zpat">
    <w:name w:val="footer"/>
    <w:basedOn w:val="Normln"/>
    <w:link w:val="ZpatChar"/>
    <w:uiPriority w:val="99"/>
    <w:unhideWhenUsed/>
    <w:rsid w:val="005657E0"/>
    <w:pPr>
      <w:tabs>
        <w:tab w:val="center" w:pos="4513"/>
        <w:tab w:val="right" w:pos="9026"/>
      </w:tabs>
    </w:pPr>
  </w:style>
  <w:style w:type="character" w:customStyle="1" w:styleId="ZpatChar">
    <w:name w:val="Zápatí Char"/>
    <w:link w:val="Zpat"/>
    <w:uiPriority w:val="99"/>
    <w:rsid w:val="005657E0"/>
    <w:rPr>
      <w:sz w:val="22"/>
      <w:szCs w:val="22"/>
      <w:lang w:eastAsia="en-US"/>
    </w:rPr>
  </w:style>
  <w:style w:type="paragraph" w:styleId="Textpoznpodarou">
    <w:name w:val="footnote text"/>
    <w:basedOn w:val="Normln"/>
    <w:link w:val="TextpoznpodarouChar"/>
    <w:uiPriority w:val="99"/>
    <w:semiHidden/>
    <w:unhideWhenUsed/>
    <w:rsid w:val="00874C9A"/>
    <w:rPr>
      <w:sz w:val="20"/>
      <w:szCs w:val="20"/>
    </w:rPr>
  </w:style>
  <w:style w:type="character" w:customStyle="1" w:styleId="TextpoznpodarouChar">
    <w:name w:val="Text pozn. pod čarou Char"/>
    <w:link w:val="Textpoznpodarou"/>
    <w:uiPriority w:val="99"/>
    <w:semiHidden/>
    <w:rsid w:val="00874C9A"/>
    <w:rPr>
      <w:lang w:eastAsia="en-US"/>
    </w:rPr>
  </w:style>
  <w:style w:type="character" w:styleId="Znakapoznpodarou">
    <w:name w:val="footnote reference"/>
    <w:uiPriority w:val="99"/>
    <w:semiHidden/>
    <w:unhideWhenUsed/>
    <w:rsid w:val="00874C9A"/>
    <w:rPr>
      <w:vertAlign w:val="superscript"/>
    </w:rPr>
  </w:style>
  <w:style w:type="paragraph" w:styleId="Textbubliny">
    <w:name w:val="Balloon Text"/>
    <w:basedOn w:val="Normln"/>
    <w:link w:val="TextbublinyChar"/>
    <w:uiPriority w:val="99"/>
    <w:semiHidden/>
    <w:unhideWhenUsed/>
    <w:rsid w:val="00874C9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74C9A"/>
    <w:rPr>
      <w:rFonts w:ascii="Tahoma" w:hAnsi="Tahoma" w:cs="Tahoma"/>
      <w:sz w:val="16"/>
      <w:szCs w:val="16"/>
      <w:lang w:eastAsia="en-US"/>
    </w:rPr>
  </w:style>
  <w:style w:type="character" w:styleId="Odkaznakoment">
    <w:name w:val="annotation reference"/>
    <w:uiPriority w:val="99"/>
    <w:semiHidden/>
    <w:unhideWhenUsed/>
    <w:rsid w:val="005D3B0D"/>
    <w:rPr>
      <w:sz w:val="16"/>
      <w:szCs w:val="16"/>
    </w:rPr>
  </w:style>
  <w:style w:type="paragraph" w:styleId="Textkomente">
    <w:name w:val="annotation text"/>
    <w:basedOn w:val="Normln"/>
    <w:link w:val="TextkomenteChar"/>
    <w:uiPriority w:val="99"/>
    <w:semiHidden/>
    <w:unhideWhenUsed/>
    <w:rsid w:val="005D3B0D"/>
    <w:rPr>
      <w:sz w:val="20"/>
      <w:szCs w:val="20"/>
    </w:rPr>
  </w:style>
  <w:style w:type="character" w:customStyle="1" w:styleId="TextkomenteChar">
    <w:name w:val="Text komentáře Char"/>
    <w:link w:val="Textkomente"/>
    <w:uiPriority w:val="99"/>
    <w:semiHidden/>
    <w:rsid w:val="005D3B0D"/>
    <w:rPr>
      <w:lang w:eastAsia="en-US"/>
    </w:rPr>
  </w:style>
  <w:style w:type="paragraph" w:styleId="Pedmtkomente">
    <w:name w:val="annotation subject"/>
    <w:basedOn w:val="Textkomente"/>
    <w:next w:val="Textkomente"/>
    <w:link w:val="PedmtkomenteChar"/>
    <w:uiPriority w:val="99"/>
    <w:semiHidden/>
    <w:unhideWhenUsed/>
    <w:rsid w:val="005D3B0D"/>
    <w:rPr>
      <w:b/>
      <w:bCs/>
    </w:rPr>
  </w:style>
  <w:style w:type="character" w:customStyle="1" w:styleId="PedmtkomenteChar">
    <w:name w:val="Předmět komentáře Char"/>
    <w:link w:val="Pedmtkomente"/>
    <w:uiPriority w:val="99"/>
    <w:semiHidden/>
    <w:rsid w:val="005D3B0D"/>
    <w:rPr>
      <w:b/>
      <w:bCs/>
      <w:lang w:eastAsia="en-US"/>
    </w:rPr>
  </w:style>
  <w:style w:type="character" w:customStyle="1" w:styleId="Nadpis2Char">
    <w:name w:val="Nadpis 2 Char"/>
    <w:aliases w:val="CMFB Heading 2 Char"/>
    <w:link w:val="Nadpis2"/>
    <w:rsid w:val="00A7335A"/>
    <w:rPr>
      <w:rFonts w:ascii="Times New Roman" w:eastAsia="Times New Roman" w:hAnsi="Times New Roman"/>
      <w:bCs/>
      <w:i/>
      <w:iCs/>
      <w:sz w:val="24"/>
      <w:szCs w:val="24"/>
      <w:lang w:eastAsia="en-US"/>
    </w:rPr>
  </w:style>
  <w:style w:type="paragraph" w:customStyle="1" w:styleId="Paragraphs">
    <w:name w:val="Paragraphs"/>
    <w:uiPriority w:val="99"/>
    <w:rsid w:val="00A86E5F"/>
    <w:pPr>
      <w:tabs>
        <w:tab w:val="left" w:pos="567"/>
        <w:tab w:val="left" w:pos="1134"/>
        <w:tab w:val="right" w:pos="9073"/>
      </w:tabs>
      <w:spacing w:before="120" w:after="120" w:line="360" w:lineRule="auto"/>
      <w:jc w:val="both"/>
    </w:pPr>
    <w:rPr>
      <w:rFonts w:ascii="Times New Roman" w:eastAsia="Arial Unicode MS" w:hAnsi="Arial Unicode MS" w:cs="Arial Unicode MS"/>
      <w:color w:val="000000"/>
      <w:sz w:val="24"/>
      <w:szCs w:val="24"/>
      <w:u w:color="000000"/>
      <w:lang w:val="en-US"/>
    </w:rPr>
  </w:style>
  <w:style w:type="paragraph" w:customStyle="1" w:styleId="CMFBTitle">
    <w:name w:val="CMFB Title"/>
    <w:basedOn w:val="Normln"/>
    <w:link w:val="CMFBTitleChar"/>
    <w:qFormat/>
    <w:rsid w:val="005F75D3"/>
    <w:pPr>
      <w:numPr>
        <w:numId w:val="10"/>
      </w:numPr>
      <w:pBdr>
        <w:bottom w:val="single" w:sz="4" w:space="1" w:color="auto"/>
      </w:pBdr>
      <w:spacing w:before="240" w:after="480"/>
      <w:ind w:left="1134" w:hanging="567"/>
    </w:pPr>
    <w:rPr>
      <w:rFonts w:ascii="Times New Roman" w:hAnsi="Times New Roman"/>
      <w:b/>
      <w:color w:val="1F497D" w:themeColor="text2"/>
      <w:sz w:val="28"/>
      <w:szCs w:val="28"/>
    </w:rPr>
  </w:style>
  <w:style w:type="paragraph" w:styleId="Bezmezer">
    <w:name w:val="No Spacing"/>
    <w:uiPriority w:val="1"/>
    <w:qFormat/>
    <w:rsid w:val="00FC0160"/>
    <w:rPr>
      <w:sz w:val="22"/>
      <w:szCs w:val="22"/>
      <w:lang w:eastAsia="en-US"/>
    </w:rPr>
  </w:style>
  <w:style w:type="character" w:customStyle="1" w:styleId="CMFBTitleChar">
    <w:name w:val="CMFB Title Char"/>
    <w:basedOn w:val="Standardnpsmoodstavce"/>
    <w:link w:val="CMFBTitle"/>
    <w:rsid w:val="005F75D3"/>
    <w:rPr>
      <w:rFonts w:ascii="Times New Roman" w:hAnsi="Times New Roman"/>
      <w:b/>
      <w:color w:val="1F497D" w:themeColor="text2"/>
      <w:sz w:val="28"/>
      <w:szCs w:val="28"/>
      <w:lang w:eastAsia="en-US"/>
    </w:rPr>
  </w:style>
  <w:style w:type="paragraph" w:customStyle="1" w:styleId="CMFBtextintable">
    <w:name w:val="CMFB text in table"/>
    <w:basedOn w:val="CMFBText"/>
    <w:link w:val="CMFBtextintableChar"/>
    <w:qFormat/>
    <w:rsid w:val="003540FB"/>
  </w:style>
  <w:style w:type="character" w:styleId="Hypertextovodkaz">
    <w:name w:val="Hyperlink"/>
    <w:basedOn w:val="Standardnpsmoodstavce"/>
    <w:uiPriority w:val="99"/>
    <w:unhideWhenUsed/>
    <w:rsid w:val="00300C83"/>
    <w:rPr>
      <w:color w:val="0000FF" w:themeColor="hyperlink"/>
      <w:u w:val="single"/>
    </w:rPr>
  </w:style>
  <w:style w:type="character" w:customStyle="1" w:styleId="CMFBtextintableChar">
    <w:name w:val="CMFB text in table Char"/>
    <w:basedOn w:val="CMFBTextChar"/>
    <w:link w:val="CMFBtextintable"/>
    <w:rsid w:val="003540FB"/>
    <w:rPr>
      <w:rFonts w:ascii="Times New Roman" w:hAnsi="Times New Roman"/>
      <w:sz w:val="24"/>
      <w:szCs w:val="24"/>
      <w:lang w:eastAsia="en-US"/>
    </w:rPr>
  </w:style>
  <w:style w:type="paragraph" w:styleId="Obsah1">
    <w:name w:val="toc 1"/>
    <w:basedOn w:val="Normln"/>
    <w:next w:val="Normln"/>
    <w:autoRedefine/>
    <w:uiPriority w:val="39"/>
    <w:unhideWhenUsed/>
    <w:qFormat/>
    <w:rsid w:val="005D70F9"/>
    <w:pPr>
      <w:tabs>
        <w:tab w:val="left" w:pos="440"/>
        <w:tab w:val="right" w:leader="dot" w:pos="9072"/>
      </w:tabs>
      <w:spacing w:before="120" w:after="120"/>
      <w:ind w:right="521"/>
    </w:pPr>
    <w:rPr>
      <w:rFonts w:ascii="Times New Roman" w:hAnsi="Times New Roman"/>
      <w:bCs/>
      <w:iCs/>
      <w:noProof/>
      <w:sz w:val="24"/>
      <w:szCs w:val="24"/>
    </w:rPr>
  </w:style>
  <w:style w:type="paragraph" w:styleId="Nadpisobsahu">
    <w:name w:val="TOC Heading"/>
    <w:basedOn w:val="Nadpis1"/>
    <w:next w:val="Normln"/>
    <w:uiPriority w:val="39"/>
    <w:unhideWhenUsed/>
    <w:qFormat/>
    <w:rsid w:val="00300C83"/>
    <w:pPr>
      <w:keepLines/>
      <w:numPr>
        <w:numId w:val="0"/>
      </w:numPr>
      <w:spacing w:after="0" w:line="276" w:lineRule="auto"/>
      <w:outlineLvl w:val="9"/>
    </w:pPr>
    <w:rPr>
      <w:rFonts w:asciiTheme="majorHAnsi" w:eastAsiaTheme="majorEastAsia" w:hAnsiTheme="majorHAnsi" w:cstheme="majorBidi"/>
      <w:bCs/>
      <w:color w:val="365F91" w:themeColor="accent1" w:themeShade="BF"/>
      <w:lang w:val="en-US" w:eastAsia="ja-JP"/>
    </w:rPr>
  </w:style>
  <w:style w:type="paragraph" w:styleId="Obsah2">
    <w:name w:val="toc 2"/>
    <w:basedOn w:val="Obsah1"/>
    <w:next w:val="Normln"/>
    <w:autoRedefine/>
    <w:uiPriority w:val="39"/>
    <w:unhideWhenUsed/>
    <w:qFormat/>
    <w:rsid w:val="00300C83"/>
    <w:rPr>
      <w:b/>
      <w:i/>
      <w:iCs w:val="0"/>
      <w:szCs w:val="20"/>
    </w:rPr>
  </w:style>
  <w:style w:type="paragraph" w:styleId="Obsah3">
    <w:name w:val="toc 3"/>
    <w:basedOn w:val="Normln"/>
    <w:next w:val="Normln"/>
    <w:autoRedefine/>
    <w:uiPriority w:val="39"/>
    <w:unhideWhenUsed/>
    <w:qFormat/>
    <w:rsid w:val="00300C83"/>
    <w:pPr>
      <w:pBdr>
        <w:between w:val="double" w:sz="6" w:space="0" w:color="auto"/>
      </w:pBdr>
      <w:spacing w:before="120" w:after="120"/>
      <w:ind w:left="220"/>
      <w:jc w:val="center"/>
    </w:pPr>
    <w:rPr>
      <w:rFonts w:asciiTheme="minorHAnsi" w:hAnsiTheme="minorHAnsi"/>
      <w:sz w:val="20"/>
      <w:szCs w:val="20"/>
    </w:rPr>
  </w:style>
  <w:style w:type="character" w:customStyle="1" w:styleId="Nadpis3Char">
    <w:name w:val="Nadpis 3 Char"/>
    <w:aliases w:val="CMFB Heading 3 Char"/>
    <w:basedOn w:val="Standardnpsmoodstavce"/>
    <w:link w:val="Nadpis3"/>
    <w:rsid w:val="003540FB"/>
    <w:rPr>
      <w:rFonts w:ascii="Times New Roman" w:eastAsiaTheme="majorEastAsia" w:hAnsi="Times New Roman"/>
      <w:bCs/>
      <w:sz w:val="24"/>
      <w:szCs w:val="24"/>
      <w:u w:val="single"/>
      <w:lang w:eastAsia="en-US"/>
    </w:rPr>
  </w:style>
  <w:style w:type="paragraph" w:styleId="Obsah4">
    <w:name w:val="toc 4"/>
    <w:basedOn w:val="Normln"/>
    <w:next w:val="Normln"/>
    <w:autoRedefine/>
    <w:uiPriority w:val="39"/>
    <w:unhideWhenUsed/>
    <w:rsid w:val="00300C83"/>
    <w:pPr>
      <w:pBdr>
        <w:between w:val="double" w:sz="6" w:space="0" w:color="auto"/>
      </w:pBdr>
      <w:spacing w:before="120" w:after="120"/>
      <w:ind w:left="440"/>
      <w:jc w:val="center"/>
    </w:pPr>
    <w:rPr>
      <w:rFonts w:asciiTheme="minorHAnsi" w:hAnsiTheme="minorHAnsi"/>
      <w:sz w:val="20"/>
      <w:szCs w:val="20"/>
    </w:rPr>
  </w:style>
  <w:style w:type="paragraph" w:styleId="Obsah5">
    <w:name w:val="toc 5"/>
    <w:basedOn w:val="Normln"/>
    <w:next w:val="Normln"/>
    <w:autoRedefine/>
    <w:uiPriority w:val="39"/>
    <w:unhideWhenUsed/>
    <w:rsid w:val="00300C83"/>
    <w:pPr>
      <w:pBdr>
        <w:between w:val="double" w:sz="6" w:space="0" w:color="auto"/>
      </w:pBdr>
      <w:spacing w:before="120" w:after="120"/>
      <w:ind w:left="660"/>
      <w:jc w:val="center"/>
    </w:pPr>
    <w:rPr>
      <w:rFonts w:asciiTheme="minorHAnsi" w:hAnsiTheme="minorHAnsi"/>
      <w:sz w:val="20"/>
      <w:szCs w:val="20"/>
    </w:rPr>
  </w:style>
  <w:style w:type="paragraph" w:styleId="Obsah6">
    <w:name w:val="toc 6"/>
    <w:basedOn w:val="Normln"/>
    <w:next w:val="Normln"/>
    <w:autoRedefine/>
    <w:uiPriority w:val="39"/>
    <w:unhideWhenUsed/>
    <w:rsid w:val="00300C83"/>
    <w:pPr>
      <w:pBdr>
        <w:between w:val="double" w:sz="6" w:space="0" w:color="auto"/>
      </w:pBdr>
      <w:spacing w:before="120" w:after="120"/>
      <w:ind w:left="880"/>
      <w:jc w:val="center"/>
    </w:pPr>
    <w:rPr>
      <w:rFonts w:asciiTheme="minorHAnsi" w:hAnsiTheme="minorHAnsi"/>
      <w:sz w:val="20"/>
      <w:szCs w:val="20"/>
    </w:rPr>
  </w:style>
  <w:style w:type="paragraph" w:styleId="Obsah7">
    <w:name w:val="toc 7"/>
    <w:basedOn w:val="Normln"/>
    <w:next w:val="Normln"/>
    <w:autoRedefine/>
    <w:uiPriority w:val="39"/>
    <w:unhideWhenUsed/>
    <w:rsid w:val="00300C83"/>
    <w:pPr>
      <w:pBdr>
        <w:between w:val="double" w:sz="6" w:space="0" w:color="auto"/>
      </w:pBdr>
      <w:spacing w:before="120" w:after="120"/>
      <w:ind w:left="1100"/>
      <w:jc w:val="center"/>
    </w:pPr>
    <w:rPr>
      <w:rFonts w:asciiTheme="minorHAnsi" w:hAnsiTheme="minorHAnsi"/>
      <w:sz w:val="20"/>
      <w:szCs w:val="20"/>
    </w:rPr>
  </w:style>
  <w:style w:type="paragraph" w:styleId="Obsah8">
    <w:name w:val="toc 8"/>
    <w:basedOn w:val="Normln"/>
    <w:next w:val="Normln"/>
    <w:autoRedefine/>
    <w:uiPriority w:val="39"/>
    <w:unhideWhenUsed/>
    <w:rsid w:val="00300C83"/>
    <w:pPr>
      <w:pBdr>
        <w:between w:val="double" w:sz="6" w:space="0" w:color="auto"/>
      </w:pBdr>
      <w:spacing w:before="120" w:after="120"/>
      <w:ind w:left="1320"/>
      <w:jc w:val="center"/>
    </w:pPr>
    <w:rPr>
      <w:rFonts w:asciiTheme="minorHAnsi" w:hAnsiTheme="minorHAnsi"/>
      <w:sz w:val="20"/>
      <w:szCs w:val="20"/>
    </w:rPr>
  </w:style>
  <w:style w:type="paragraph" w:styleId="Obsah9">
    <w:name w:val="toc 9"/>
    <w:basedOn w:val="Normln"/>
    <w:next w:val="Normln"/>
    <w:autoRedefine/>
    <w:uiPriority w:val="39"/>
    <w:unhideWhenUsed/>
    <w:rsid w:val="00300C83"/>
    <w:pPr>
      <w:pBdr>
        <w:between w:val="double" w:sz="6" w:space="0" w:color="auto"/>
      </w:pBdr>
      <w:spacing w:before="120" w:after="120"/>
      <w:ind w:left="1540"/>
      <w:jc w:val="center"/>
    </w:pPr>
    <w:rPr>
      <w:rFonts w:asciiTheme="minorHAnsi" w:hAnsiTheme="minorHAnsi"/>
      <w:sz w:val="20"/>
      <w:szCs w:val="20"/>
    </w:rPr>
  </w:style>
  <w:style w:type="paragraph" w:customStyle="1" w:styleId="CMFBtextnumbered">
    <w:name w:val="CMFB text numbered"/>
    <w:basedOn w:val="CMFBtextintable"/>
    <w:link w:val="CMFBtextnumberedChar"/>
    <w:qFormat/>
    <w:rsid w:val="00300C83"/>
    <w:pPr>
      <w:numPr>
        <w:numId w:val="4"/>
      </w:numPr>
      <w:tabs>
        <w:tab w:val="left" w:pos="567"/>
      </w:tabs>
      <w:ind w:left="567" w:hanging="534"/>
    </w:pPr>
  </w:style>
  <w:style w:type="paragraph" w:customStyle="1" w:styleId="CMFBnumberedtext">
    <w:name w:val="CMFB numbered text"/>
    <w:basedOn w:val="Normln"/>
    <w:link w:val="CMFBnumberedtextChar"/>
    <w:qFormat/>
    <w:rsid w:val="00CB2017"/>
    <w:pPr>
      <w:suppressAutoHyphens/>
      <w:spacing w:after="120" w:line="240" w:lineRule="auto"/>
      <w:jc w:val="both"/>
    </w:pPr>
    <w:rPr>
      <w:rFonts w:ascii="Times New Roman" w:eastAsia="Times New Roman" w:hAnsi="Times New Roman"/>
      <w:color w:val="000000"/>
      <w:sz w:val="24"/>
      <w:szCs w:val="24"/>
      <w:lang w:val="x-none" w:eastAsia="ar-SA"/>
    </w:rPr>
  </w:style>
  <w:style w:type="character" w:customStyle="1" w:styleId="CMFBtextnumberedChar">
    <w:name w:val="CMFB text numbered Char"/>
    <w:basedOn w:val="CMFBtextintableChar"/>
    <w:link w:val="CMFBtextnumbered"/>
    <w:rsid w:val="00300C83"/>
    <w:rPr>
      <w:rFonts w:ascii="Times New Roman" w:hAnsi="Times New Roman"/>
      <w:sz w:val="24"/>
      <w:szCs w:val="24"/>
      <w:lang w:eastAsia="en-US"/>
    </w:rPr>
  </w:style>
  <w:style w:type="paragraph" w:styleId="Nzev">
    <w:name w:val="Title"/>
    <w:basedOn w:val="Normln"/>
    <w:next w:val="Podtitul"/>
    <w:link w:val="NzevChar"/>
    <w:qFormat/>
    <w:rsid w:val="00CB2017"/>
    <w:pPr>
      <w:suppressAutoHyphens/>
      <w:spacing w:after="0" w:line="240" w:lineRule="auto"/>
      <w:jc w:val="center"/>
    </w:pPr>
    <w:rPr>
      <w:rFonts w:ascii="Times New Roman" w:eastAsia="Times New Roman" w:hAnsi="Times New Roman"/>
      <w:b/>
      <w:color w:val="000000"/>
      <w:sz w:val="32"/>
      <w:szCs w:val="20"/>
      <w:lang w:eastAsia="ar-SA"/>
    </w:rPr>
  </w:style>
  <w:style w:type="character" w:customStyle="1" w:styleId="NzevChar">
    <w:name w:val="Název Char"/>
    <w:basedOn w:val="Standardnpsmoodstavce"/>
    <w:link w:val="Nzev"/>
    <w:rsid w:val="00CB2017"/>
    <w:rPr>
      <w:rFonts w:ascii="Times New Roman" w:eastAsia="Times New Roman" w:hAnsi="Times New Roman"/>
      <w:b/>
      <w:color w:val="000000"/>
      <w:sz w:val="32"/>
      <w:lang w:eastAsia="ar-SA"/>
    </w:rPr>
  </w:style>
  <w:style w:type="character" w:customStyle="1" w:styleId="CMFBnumberedtextChar">
    <w:name w:val="CMFB numbered text Char"/>
    <w:link w:val="CMFBnumberedtext"/>
    <w:locked/>
    <w:rsid w:val="00CB2017"/>
    <w:rPr>
      <w:rFonts w:ascii="Times New Roman" w:eastAsia="Times New Roman" w:hAnsi="Times New Roman"/>
      <w:color w:val="000000"/>
      <w:sz w:val="24"/>
      <w:szCs w:val="24"/>
      <w:lang w:val="x-none" w:eastAsia="ar-SA"/>
    </w:rPr>
  </w:style>
  <w:style w:type="character" w:customStyle="1" w:styleId="CMFBBulletChar">
    <w:name w:val="CMFB Bullet Char"/>
    <w:basedOn w:val="CMFBnumberedtextChar"/>
    <w:link w:val="CMFBBullet"/>
    <w:locked/>
    <w:rsid w:val="00CB2017"/>
    <w:rPr>
      <w:rFonts w:ascii="Times New Roman" w:eastAsia="Times New Roman" w:hAnsi="Times New Roman"/>
      <w:color w:val="000000"/>
      <w:sz w:val="24"/>
      <w:szCs w:val="24"/>
      <w:lang w:val="x-none" w:eastAsia="ar-SA"/>
    </w:rPr>
  </w:style>
  <w:style w:type="paragraph" w:customStyle="1" w:styleId="CMFBBullet">
    <w:name w:val="CMFB Bullet"/>
    <w:basedOn w:val="CMFBnumberedtext"/>
    <w:link w:val="CMFBBulletChar"/>
    <w:qFormat/>
    <w:rsid w:val="00CB2017"/>
    <w:pPr>
      <w:numPr>
        <w:numId w:val="6"/>
      </w:numPr>
      <w:ind w:left="1134" w:hanging="567"/>
    </w:pPr>
  </w:style>
  <w:style w:type="paragraph" w:styleId="Podtitul">
    <w:name w:val="Subtitle"/>
    <w:basedOn w:val="Normln"/>
    <w:next w:val="Normln"/>
    <w:link w:val="PodtitulChar"/>
    <w:uiPriority w:val="11"/>
    <w:qFormat/>
    <w:rsid w:val="00CB20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B2017"/>
    <w:rPr>
      <w:rFonts w:asciiTheme="majorHAnsi" w:eastAsiaTheme="majorEastAsia" w:hAnsiTheme="majorHAnsi" w:cstheme="majorBidi"/>
      <w:i/>
      <w:iCs/>
      <w:color w:val="4F81BD" w:themeColor="accent1"/>
      <w:spacing w:val="15"/>
      <w:sz w:val="24"/>
      <w:szCs w:val="24"/>
      <w:lang w:eastAsia="en-US"/>
    </w:rPr>
  </w:style>
  <w:style w:type="character" w:customStyle="1" w:styleId="Nadpis4Char">
    <w:name w:val="Nadpis 4 Char"/>
    <w:aliases w:val="CMFB Heading 4 Char"/>
    <w:basedOn w:val="Standardnpsmoodstavce"/>
    <w:link w:val="Nadpis4"/>
    <w:uiPriority w:val="9"/>
    <w:rsid w:val="00A7335A"/>
    <w:rPr>
      <w:rFonts w:ascii="Times New Roman" w:eastAsiaTheme="majorEastAsia" w:hAnsi="Times New Roman"/>
      <w:bCs/>
      <w:i/>
      <w:iCs/>
      <w:sz w:val="24"/>
      <w:szCs w:val="24"/>
      <w:lang w:eastAsia="en-US"/>
    </w:rPr>
  </w:style>
  <w:style w:type="numbering" w:customStyle="1" w:styleId="Style1">
    <w:name w:val="Style1"/>
    <w:uiPriority w:val="99"/>
    <w:rsid w:val="00D227A9"/>
    <w:pPr>
      <w:numPr>
        <w:numId w:val="12"/>
      </w:numPr>
    </w:pPr>
  </w:style>
  <w:style w:type="numbering" w:customStyle="1" w:styleId="CMFBTGreportnumbering">
    <w:name w:val="CMFB TG report numbering"/>
    <w:uiPriority w:val="99"/>
    <w:rsid w:val="00A7335A"/>
    <w:pPr>
      <w:numPr>
        <w:numId w:val="13"/>
      </w:numPr>
    </w:pPr>
  </w:style>
  <w:style w:type="character" w:customStyle="1" w:styleId="Nadpis5Char">
    <w:name w:val="Nadpis 5 Char"/>
    <w:basedOn w:val="Standardnpsmoodstavce"/>
    <w:link w:val="Nadpis5"/>
    <w:uiPriority w:val="9"/>
    <w:rsid w:val="003540FB"/>
    <w:rPr>
      <w:rFonts w:asciiTheme="majorHAnsi" w:eastAsiaTheme="majorEastAsia" w:hAnsiTheme="majorHAnsi" w:cstheme="majorBidi"/>
      <w:color w:val="243F60" w:themeColor="accent1" w:themeShade="7F"/>
      <w:sz w:val="22"/>
      <w:szCs w:val="22"/>
      <w:lang w:eastAsia="en-US"/>
    </w:rPr>
  </w:style>
  <w:style w:type="table" w:styleId="Mkatabulky">
    <w:name w:val="Table Grid"/>
    <w:basedOn w:val="Normlntabulka"/>
    <w:uiPriority w:val="59"/>
    <w:rsid w:val="0024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FBfooter">
    <w:name w:val="CMFB footer"/>
    <w:basedOn w:val="Zpat"/>
    <w:link w:val="CMFBfooterChar"/>
    <w:qFormat/>
    <w:rsid w:val="00A36A37"/>
    <w:pPr>
      <w:pBdr>
        <w:top w:val="single" w:sz="4" w:space="1" w:color="auto"/>
      </w:pBdr>
      <w:tabs>
        <w:tab w:val="clear" w:pos="4513"/>
      </w:tabs>
    </w:pPr>
    <w:rPr>
      <w:rFonts w:ascii="Arial" w:hAnsi="Arial" w:cs="Arial"/>
      <w:sz w:val="16"/>
      <w:szCs w:val="16"/>
    </w:rPr>
  </w:style>
  <w:style w:type="character" w:styleId="slodku">
    <w:name w:val="line number"/>
    <w:basedOn w:val="Standardnpsmoodstavce"/>
    <w:uiPriority w:val="99"/>
    <w:semiHidden/>
    <w:unhideWhenUsed/>
    <w:rsid w:val="001C5D9A"/>
  </w:style>
  <w:style w:type="character" w:customStyle="1" w:styleId="CMFBfooterChar">
    <w:name w:val="CMFB footer Char"/>
    <w:basedOn w:val="ZpatChar"/>
    <w:link w:val="CMFBfooter"/>
    <w:rsid w:val="00A36A37"/>
    <w:rPr>
      <w:rFonts w:ascii="Arial" w:hAnsi="Arial" w:cs="Arial"/>
      <w:sz w:val="16"/>
      <w:szCs w:val="16"/>
      <w:lang w:eastAsia="en-US"/>
    </w:rPr>
  </w:style>
  <w:style w:type="character" w:styleId="Sledovanodkaz">
    <w:name w:val="FollowedHyperlink"/>
    <w:basedOn w:val="Standardnpsmoodstavce"/>
    <w:uiPriority w:val="99"/>
    <w:semiHidden/>
    <w:unhideWhenUsed/>
    <w:rsid w:val="0076455F"/>
    <w:rPr>
      <w:color w:val="800080" w:themeColor="followedHyperlink"/>
      <w:u w:val="single"/>
    </w:rPr>
  </w:style>
  <w:style w:type="paragraph" w:styleId="Revize">
    <w:name w:val="Revision"/>
    <w:hidden/>
    <w:uiPriority w:val="99"/>
    <w:semiHidden/>
    <w:rsid w:val="00B206D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paragraph" w:styleId="Nadpis1">
    <w:name w:val="heading 1"/>
    <w:aliases w:val="CMFB Heading 1"/>
    <w:basedOn w:val="Default"/>
    <w:next w:val="Normln"/>
    <w:link w:val="Nadpis1Char"/>
    <w:qFormat/>
    <w:rsid w:val="00A7335A"/>
    <w:pPr>
      <w:keepNext/>
      <w:numPr>
        <w:numId w:val="14"/>
      </w:numPr>
      <w:suppressAutoHyphens/>
      <w:autoSpaceDE/>
      <w:autoSpaceDN/>
      <w:adjustRightInd/>
      <w:spacing w:before="480" w:after="240"/>
      <w:jc w:val="both"/>
      <w:outlineLvl w:val="0"/>
    </w:pPr>
    <w:rPr>
      <w:b/>
      <w:sz w:val="28"/>
      <w:szCs w:val="28"/>
    </w:rPr>
  </w:style>
  <w:style w:type="paragraph" w:styleId="Nadpis2">
    <w:name w:val="heading 2"/>
    <w:aliases w:val="CMFB Heading 2"/>
    <w:basedOn w:val="Normln"/>
    <w:next w:val="Normln"/>
    <w:link w:val="Nadpis2Char"/>
    <w:unhideWhenUsed/>
    <w:qFormat/>
    <w:rsid w:val="00A7335A"/>
    <w:pPr>
      <w:keepNext/>
      <w:numPr>
        <w:ilvl w:val="1"/>
        <w:numId w:val="14"/>
      </w:numPr>
      <w:suppressAutoHyphens/>
      <w:spacing w:before="480" w:after="240" w:line="240" w:lineRule="auto"/>
      <w:jc w:val="both"/>
      <w:outlineLvl w:val="1"/>
    </w:pPr>
    <w:rPr>
      <w:rFonts w:ascii="Times New Roman" w:eastAsia="Times New Roman" w:hAnsi="Times New Roman"/>
      <w:bCs/>
      <w:i/>
      <w:iCs/>
      <w:sz w:val="24"/>
      <w:szCs w:val="24"/>
    </w:rPr>
  </w:style>
  <w:style w:type="paragraph" w:styleId="Nadpis3">
    <w:name w:val="heading 3"/>
    <w:aliases w:val="CMFB Heading 3"/>
    <w:basedOn w:val="Normln"/>
    <w:next w:val="Normln"/>
    <w:link w:val="Nadpis3Char"/>
    <w:unhideWhenUsed/>
    <w:qFormat/>
    <w:rsid w:val="003540FB"/>
    <w:pPr>
      <w:keepNext/>
      <w:numPr>
        <w:ilvl w:val="2"/>
        <w:numId w:val="14"/>
      </w:numPr>
      <w:suppressAutoHyphens/>
      <w:spacing w:before="480" w:after="240" w:line="240" w:lineRule="auto"/>
      <w:jc w:val="both"/>
      <w:outlineLvl w:val="2"/>
    </w:pPr>
    <w:rPr>
      <w:rFonts w:ascii="Times New Roman" w:eastAsiaTheme="majorEastAsia" w:hAnsi="Times New Roman"/>
      <w:bCs/>
      <w:sz w:val="24"/>
      <w:szCs w:val="24"/>
      <w:u w:val="single"/>
    </w:rPr>
  </w:style>
  <w:style w:type="paragraph" w:styleId="Nadpis4">
    <w:name w:val="heading 4"/>
    <w:aliases w:val="CMFB Heading 4"/>
    <w:basedOn w:val="Normln"/>
    <w:next w:val="Normln"/>
    <w:link w:val="Nadpis4Char"/>
    <w:uiPriority w:val="9"/>
    <w:unhideWhenUsed/>
    <w:qFormat/>
    <w:rsid w:val="00A7335A"/>
    <w:pPr>
      <w:keepNext/>
      <w:keepLines/>
      <w:numPr>
        <w:ilvl w:val="3"/>
        <w:numId w:val="14"/>
      </w:numPr>
      <w:spacing w:before="200" w:after="0"/>
      <w:outlineLvl w:val="3"/>
    </w:pPr>
    <w:rPr>
      <w:rFonts w:ascii="Times New Roman" w:eastAsiaTheme="majorEastAsia" w:hAnsi="Times New Roman"/>
      <w:bCs/>
      <w:i/>
      <w:iCs/>
      <w:sz w:val="24"/>
      <w:szCs w:val="24"/>
    </w:rPr>
  </w:style>
  <w:style w:type="paragraph" w:styleId="Nadpis5">
    <w:name w:val="heading 5"/>
    <w:basedOn w:val="Normln"/>
    <w:next w:val="Normln"/>
    <w:link w:val="Nadpis5Char"/>
    <w:uiPriority w:val="9"/>
    <w:unhideWhenUsed/>
    <w:qFormat/>
    <w:rsid w:val="003540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55ACC"/>
    <w:pPr>
      <w:autoSpaceDE w:val="0"/>
      <w:autoSpaceDN w:val="0"/>
      <w:adjustRightInd w:val="0"/>
    </w:pPr>
    <w:rPr>
      <w:rFonts w:ascii="Times New Roman" w:hAnsi="Times New Roman"/>
      <w:color w:val="000000"/>
      <w:sz w:val="24"/>
      <w:szCs w:val="24"/>
    </w:rPr>
  </w:style>
  <w:style w:type="paragraph" w:styleId="Odstavecseseznamem">
    <w:name w:val="List Paragraph"/>
    <w:basedOn w:val="Normln"/>
    <w:uiPriority w:val="34"/>
    <w:qFormat/>
    <w:rsid w:val="00E6163D"/>
    <w:pPr>
      <w:spacing w:after="0" w:line="240" w:lineRule="auto"/>
      <w:ind w:left="720"/>
      <w:contextualSpacing/>
    </w:pPr>
    <w:rPr>
      <w:rFonts w:ascii="Times New Roman" w:eastAsia="Times New Roman" w:hAnsi="Times New Roman"/>
      <w:sz w:val="24"/>
      <w:szCs w:val="24"/>
      <w:lang w:eastAsia="en-GB"/>
    </w:rPr>
  </w:style>
  <w:style w:type="paragraph" w:styleId="Normlnweb">
    <w:name w:val="Normal (Web)"/>
    <w:basedOn w:val="Normln"/>
    <w:uiPriority w:val="99"/>
    <w:semiHidden/>
    <w:unhideWhenUsed/>
    <w:rsid w:val="00AB4BFC"/>
    <w:pPr>
      <w:spacing w:before="100" w:beforeAutospacing="1" w:after="100" w:afterAutospacing="1" w:line="240" w:lineRule="auto"/>
    </w:pPr>
    <w:rPr>
      <w:rFonts w:ascii="Times New Roman" w:eastAsia="Times New Roman" w:hAnsi="Times New Roman"/>
      <w:sz w:val="24"/>
      <w:szCs w:val="24"/>
      <w:lang w:eastAsia="en-GB"/>
    </w:rPr>
  </w:style>
  <w:style w:type="numbering" w:customStyle="1" w:styleId="List0">
    <w:name w:val="List 0"/>
    <w:rsid w:val="00B76A35"/>
    <w:pPr>
      <w:numPr>
        <w:numId w:val="1"/>
      </w:numPr>
    </w:pPr>
  </w:style>
  <w:style w:type="character" w:customStyle="1" w:styleId="Nadpis1Char">
    <w:name w:val="Nadpis 1 Char"/>
    <w:aliases w:val="CMFB Heading 1 Char"/>
    <w:link w:val="Nadpis1"/>
    <w:rsid w:val="00A7335A"/>
    <w:rPr>
      <w:rFonts w:ascii="Times New Roman" w:hAnsi="Times New Roman"/>
      <w:b/>
      <w:color w:val="000000"/>
      <w:sz w:val="28"/>
      <w:szCs w:val="28"/>
    </w:rPr>
  </w:style>
  <w:style w:type="paragraph" w:customStyle="1" w:styleId="CMFBText">
    <w:name w:val="CMFB Text"/>
    <w:basedOn w:val="Normln"/>
    <w:link w:val="CMFBTextChar"/>
    <w:qFormat/>
    <w:rsid w:val="005657E0"/>
    <w:pPr>
      <w:spacing w:before="120" w:after="120" w:line="240" w:lineRule="auto"/>
      <w:jc w:val="both"/>
    </w:pPr>
    <w:rPr>
      <w:rFonts w:ascii="Times New Roman" w:hAnsi="Times New Roman"/>
      <w:sz w:val="24"/>
      <w:szCs w:val="24"/>
    </w:rPr>
  </w:style>
  <w:style w:type="paragraph" w:styleId="Zhlav">
    <w:name w:val="header"/>
    <w:basedOn w:val="Normln"/>
    <w:link w:val="ZhlavChar"/>
    <w:uiPriority w:val="99"/>
    <w:unhideWhenUsed/>
    <w:rsid w:val="005657E0"/>
    <w:pPr>
      <w:tabs>
        <w:tab w:val="center" w:pos="4513"/>
        <w:tab w:val="right" w:pos="9026"/>
      </w:tabs>
    </w:pPr>
  </w:style>
  <w:style w:type="character" w:customStyle="1" w:styleId="CMFBTextChar">
    <w:name w:val="CMFB Text Char"/>
    <w:link w:val="CMFBText"/>
    <w:rsid w:val="005657E0"/>
    <w:rPr>
      <w:rFonts w:ascii="Times New Roman" w:hAnsi="Times New Roman"/>
      <w:sz w:val="24"/>
      <w:szCs w:val="24"/>
      <w:lang w:eastAsia="en-US"/>
    </w:rPr>
  </w:style>
  <w:style w:type="character" w:customStyle="1" w:styleId="ZhlavChar">
    <w:name w:val="Záhlaví Char"/>
    <w:link w:val="Zhlav"/>
    <w:uiPriority w:val="99"/>
    <w:rsid w:val="005657E0"/>
    <w:rPr>
      <w:sz w:val="22"/>
      <w:szCs w:val="22"/>
      <w:lang w:eastAsia="en-US"/>
    </w:rPr>
  </w:style>
  <w:style w:type="paragraph" w:styleId="Zpat">
    <w:name w:val="footer"/>
    <w:basedOn w:val="Normln"/>
    <w:link w:val="ZpatChar"/>
    <w:uiPriority w:val="99"/>
    <w:unhideWhenUsed/>
    <w:rsid w:val="005657E0"/>
    <w:pPr>
      <w:tabs>
        <w:tab w:val="center" w:pos="4513"/>
        <w:tab w:val="right" w:pos="9026"/>
      </w:tabs>
    </w:pPr>
  </w:style>
  <w:style w:type="character" w:customStyle="1" w:styleId="ZpatChar">
    <w:name w:val="Zápatí Char"/>
    <w:link w:val="Zpat"/>
    <w:uiPriority w:val="99"/>
    <w:rsid w:val="005657E0"/>
    <w:rPr>
      <w:sz w:val="22"/>
      <w:szCs w:val="22"/>
      <w:lang w:eastAsia="en-US"/>
    </w:rPr>
  </w:style>
  <w:style w:type="paragraph" w:styleId="Textpoznpodarou">
    <w:name w:val="footnote text"/>
    <w:basedOn w:val="Normln"/>
    <w:link w:val="TextpoznpodarouChar"/>
    <w:uiPriority w:val="99"/>
    <w:semiHidden/>
    <w:unhideWhenUsed/>
    <w:rsid w:val="00874C9A"/>
    <w:rPr>
      <w:sz w:val="20"/>
      <w:szCs w:val="20"/>
    </w:rPr>
  </w:style>
  <w:style w:type="character" w:customStyle="1" w:styleId="TextpoznpodarouChar">
    <w:name w:val="Text pozn. pod čarou Char"/>
    <w:link w:val="Textpoznpodarou"/>
    <w:uiPriority w:val="99"/>
    <w:semiHidden/>
    <w:rsid w:val="00874C9A"/>
    <w:rPr>
      <w:lang w:eastAsia="en-US"/>
    </w:rPr>
  </w:style>
  <w:style w:type="character" w:styleId="Znakapoznpodarou">
    <w:name w:val="footnote reference"/>
    <w:uiPriority w:val="99"/>
    <w:semiHidden/>
    <w:unhideWhenUsed/>
    <w:rsid w:val="00874C9A"/>
    <w:rPr>
      <w:vertAlign w:val="superscript"/>
    </w:rPr>
  </w:style>
  <w:style w:type="paragraph" w:styleId="Textbubliny">
    <w:name w:val="Balloon Text"/>
    <w:basedOn w:val="Normln"/>
    <w:link w:val="TextbublinyChar"/>
    <w:uiPriority w:val="99"/>
    <w:semiHidden/>
    <w:unhideWhenUsed/>
    <w:rsid w:val="00874C9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74C9A"/>
    <w:rPr>
      <w:rFonts w:ascii="Tahoma" w:hAnsi="Tahoma" w:cs="Tahoma"/>
      <w:sz w:val="16"/>
      <w:szCs w:val="16"/>
      <w:lang w:eastAsia="en-US"/>
    </w:rPr>
  </w:style>
  <w:style w:type="character" w:styleId="Odkaznakoment">
    <w:name w:val="annotation reference"/>
    <w:uiPriority w:val="99"/>
    <w:semiHidden/>
    <w:unhideWhenUsed/>
    <w:rsid w:val="005D3B0D"/>
    <w:rPr>
      <w:sz w:val="16"/>
      <w:szCs w:val="16"/>
    </w:rPr>
  </w:style>
  <w:style w:type="paragraph" w:styleId="Textkomente">
    <w:name w:val="annotation text"/>
    <w:basedOn w:val="Normln"/>
    <w:link w:val="TextkomenteChar"/>
    <w:uiPriority w:val="99"/>
    <w:semiHidden/>
    <w:unhideWhenUsed/>
    <w:rsid w:val="005D3B0D"/>
    <w:rPr>
      <w:sz w:val="20"/>
      <w:szCs w:val="20"/>
    </w:rPr>
  </w:style>
  <w:style w:type="character" w:customStyle="1" w:styleId="TextkomenteChar">
    <w:name w:val="Text komentáře Char"/>
    <w:link w:val="Textkomente"/>
    <w:uiPriority w:val="99"/>
    <w:semiHidden/>
    <w:rsid w:val="005D3B0D"/>
    <w:rPr>
      <w:lang w:eastAsia="en-US"/>
    </w:rPr>
  </w:style>
  <w:style w:type="paragraph" w:styleId="Pedmtkomente">
    <w:name w:val="annotation subject"/>
    <w:basedOn w:val="Textkomente"/>
    <w:next w:val="Textkomente"/>
    <w:link w:val="PedmtkomenteChar"/>
    <w:uiPriority w:val="99"/>
    <w:semiHidden/>
    <w:unhideWhenUsed/>
    <w:rsid w:val="005D3B0D"/>
    <w:rPr>
      <w:b/>
      <w:bCs/>
    </w:rPr>
  </w:style>
  <w:style w:type="character" w:customStyle="1" w:styleId="PedmtkomenteChar">
    <w:name w:val="Předmět komentáře Char"/>
    <w:link w:val="Pedmtkomente"/>
    <w:uiPriority w:val="99"/>
    <w:semiHidden/>
    <w:rsid w:val="005D3B0D"/>
    <w:rPr>
      <w:b/>
      <w:bCs/>
      <w:lang w:eastAsia="en-US"/>
    </w:rPr>
  </w:style>
  <w:style w:type="character" w:customStyle="1" w:styleId="Nadpis2Char">
    <w:name w:val="Nadpis 2 Char"/>
    <w:aliases w:val="CMFB Heading 2 Char"/>
    <w:link w:val="Nadpis2"/>
    <w:rsid w:val="00A7335A"/>
    <w:rPr>
      <w:rFonts w:ascii="Times New Roman" w:eastAsia="Times New Roman" w:hAnsi="Times New Roman"/>
      <w:bCs/>
      <w:i/>
      <w:iCs/>
      <w:sz w:val="24"/>
      <w:szCs w:val="24"/>
      <w:lang w:eastAsia="en-US"/>
    </w:rPr>
  </w:style>
  <w:style w:type="paragraph" w:customStyle="1" w:styleId="Paragraphs">
    <w:name w:val="Paragraphs"/>
    <w:uiPriority w:val="99"/>
    <w:rsid w:val="00A86E5F"/>
    <w:pPr>
      <w:tabs>
        <w:tab w:val="left" w:pos="567"/>
        <w:tab w:val="left" w:pos="1134"/>
        <w:tab w:val="right" w:pos="9073"/>
      </w:tabs>
      <w:spacing w:before="120" w:after="120" w:line="360" w:lineRule="auto"/>
      <w:jc w:val="both"/>
    </w:pPr>
    <w:rPr>
      <w:rFonts w:ascii="Times New Roman" w:eastAsia="Arial Unicode MS" w:hAnsi="Arial Unicode MS" w:cs="Arial Unicode MS"/>
      <w:color w:val="000000"/>
      <w:sz w:val="24"/>
      <w:szCs w:val="24"/>
      <w:u w:color="000000"/>
      <w:lang w:val="en-US"/>
    </w:rPr>
  </w:style>
  <w:style w:type="paragraph" w:customStyle="1" w:styleId="CMFBTitle">
    <w:name w:val="CMFB Title"/>
    <w:basedOn w:val="Normln"/>
    <w:link w:val="CMFBTitleChar"/>
    <w:qFormat/>
    <w:rsid w:val="005F75D3"/>
    <w:pPr>
      <w:numPr>
        <w:numId w:val="10"/>
      </w:numPr>
      <w:pBdr>
        <w:bottom w:val="single" w:sz="4" w:space="1" w:color="auto"/>
      </w:pBdr>
      <w:spacing w:before="240" w:after="480"/>
      <w:ind w:left="1134" w:hanging="567"/>
    </w:pPr>
    <w:rPr>
      <w:rFonts w:ascii="Times New Roman" w:hAnsi="Times New Roman"/>
      <w:b/>
      <w:color w:val="1F497D" w:themeColor="text2"/>
      <w:sz w:val="28"/>
      <w:szCs w:val="28"/>
    </w:rPr>
  </w:style>
  <w:style w:type="paragraph" w:styleId="Bezmezer">
    <w:name w:val="No Spacing"/>
    <w:uiPriority w:val="1"/>
    <w:qFormat/>
    <w:rsid w:val="00FC0160"/>
    <w:rPr>
      <w:sz w:val="22"/>
      <w:szCs w:val="22"/>
      <w:lang w:eastAsia="en-US"/>
    </w:rPr>
  </w:style>
  <w:style w:type="character" w:customStyle="1" w:styleId="CMFBTitleChar">
    <w:name w:val="CMFB Title Char"/>
    <w:basedOn w:val="Standardnpsmoodstavce"/>
    <w:link w:val="CMFBTitle"/>
    <w:rsid w:val="005F75D3"/>
    <w:rPr>
      <w:rFonts w:ascii="Times New Roman" w:hAnsi="Times New Roman"/>
      <w:b/>
      <w:color w:val="1F497D" w:themeColor="text2"/>
      <w:sz w:val="28"/>
      <w:szCs w:val="28"/>
      <w:lang w:eastAsia="en-US"/>
    </w:rPr>
  </w:style>
  <w:style w:type="paragraph" w:customStyle="1" w:styleId="CMFBtextintable">
    <w:name w:val="CMFB text in table"/>
    <w:basedOn w:val="CMFBText"/>
    <w:link w:val="CMFBtextintableChar"/>
    <w:qFormat/>
    <w:rsid w:val="003540FB"/>
  </w:style>
  <w:style w:type="character" w:styleId="Hypertextovodkaz">
    <w:name w:val="Hyperlink"/>
    <w:basedOn w:val="Standardnpsmoodstavce"/>
    <w:uiPriority w:val="99"/>
    <w:unhideWhenUsed/>
    <w:rsid w:val="00300C83"/>
    <w:rPr>
      <w:color w:val="0000FF" w:themeColor="hyperlink"/>
      <w:u w:val="single"/>
    </w:rPr>
  </w:style>
  <w:style w:type="character" w:customStyle="1" w:styleId="CMFBtextintableChar">
    <w:name w:val="CMFB text in table Char"/>
    <w:basedOn w:val="CMFBTextChar"/>
    <w:link w:val="CMFBtextintable"/>
    <w:rsid w:val="003540FB"/>
    <w:rPr>
      <w:rFonts w:ascii="Times New Roman" w:hAnsi="Times New Roman"/>
      <w:sz w:val="24"/>
      <w:szCs w:val="24"/>
      <w:lang w:eastAsia="en-US"/>
    </w:rPr>
  </w:style>
  <w:style w:type="paragraph" w:styleId="Obsah1">
    <w:name w:val="toc 1"/>
    <w:basedOn w:val="Normln"/>
    <w:next w:val="Normln"/>
    <w:autoRedefine/>
    <w:uiPriority w:val="39"/>
    <w:unhideWhenUsed/>
    <w:qFormat/>
    <w:rsid w:val="005D70F9"/>
    <w:pPr>
      <w:tabs>
        <w:tab w:val="left" w:pos="440"/>
        <w:tab w:val="right" w:leader="dot" w:pos="9072"/>
      </w:tabs>
      <w:spacing w:before="120" w:after="120"/>
      <w:ind w:right="521"/>
    </w:pPr>
    <w:rPr>
      <w:rFonts w:ascii="Times New Roman" w:hAnsi="Times New Roman"/>
      <w:bCs/>
      <w:iCs/>
      <w:noProof/>
      <w:sz w:val="24"/>
      <w:szCs w:val="24"/>
    </w:rPr>
  </w:style>
  <w:style w:type="paragraph" w:styleId="Nadpisobsahu">
    <w:name w:val="TOC Heading"/>
    <w:basedOn w:val="Nadpis1"/>
    <w:next w:val="Normln"/>
    <w:uiPriority w:val="39"/>
    <w:unhideWhenUsed/>
    <w:qFormat/>
    <w:rsid w:val="00300C83"/>
    <w:pPr>
      <w:keepLines/>
      <w:numPr>
        <w:numId w:val="0"/>
      </w:numPr>
      <w:spacing w:after="0" w:line="276" w:lineRule="auto"/>
      <w:outlineLvl w:val="9"/>
    </w:pPr>
    <w:rPr>
      <w:rFonts w:asciiTheme="majorHAnsi" w:eastAsiaTheme="majorEastAsia" w:hAnsiTheme="majorHAnsi" w:cstheme="majorBidi"/>
      <w:bCs/>
      <w:color w:val="365F91" w:themeColor="accent1" w:themeShade="BF"/>
      <w:lang w:val="en-US" w:eastAsia="ja-JP"/>
    </w:rPr>
  </w:style>
  <w:style w:type="paragraph" w:styleId="Obsah2">
    <w:name w:val="toc 2"/>
    <w:basedOn w:val="Obsah1"/>
    <w:next w:val="Normln"/>
    <w:autoRedefine/>
    <w:uiPriority w:val="39"/>
    <w:unhideWhenUsed/>
    <w:qFormat/>
    <w:rsid w:val="00300C83"/>
    <w:rPr>
      <w:b/>
      <w:i/>
      <w:iCs w:val="0"/>
      <w:szCs w:val="20"/>
    </w:rPr>
  </w:style>
  <w:style w:type="paragraph" w:styleId="Obsah3">
    <w:name w:val="toc 3"/>
    <w:basedOn w:val="Normln"/>
    <w:next w:val="Normln"/>
    <w:autoRedefine/>
    <w:uiPriority w:val="39"/>
    <w:unhideWhenUsed/>
    <w:qFormat/>
    <w:rsid w:val="00300C83"/>
    <w:pPr>
      <w:pBdr>
        <w:between w:val="double" w:sz="6" w:space="0" w:color="auto"/>
      </w:pBdr>
      <w:spacing w:before="120" w:after="120"/>
      <w:ind w:left="220"/>
      <w:jc w:val="center"/>
    </w:pPr>
    <w:rPr>
      <w:rFonts w:asciiTheme="minorHAnsi" w:hAnsiTheme="minorHAnsi"/>
      <w:sz w:val="20"/>
      <w:szCs w:val="20"/>
    </w:rPr>
  </w:style>
  <w:style w:type="character" w:customStyle="1" w:styleId="Nadpis3Char">
    <w:name w:val="Nadpis 3 Char"/>
    <w:aliases w:val="CMFB Heading 3 Char"/>
    <w:basedOn w:val="Standardnpsmoodstavce"/>
    <w:link w:val="Nadpis3"/>
    <w:rsid w:val="003540FB"/>
    <w:rPr>
      <w:rFonts w:ascii="Times New Roman" w:eastAsiaTheme="majorEastAsia" w:hAnsi="Times New Roman"/>
      <w:bCs/>
      <w:sz w:val="24"/>
      <w:szCs w:val="24"/>
      <w:u w:val="single"/>
      <w:lang w:eastAsia="en-US"/>
    </w:rPr>
  </w:style>
  <w:style w:type="paragraph" w:styleId="Obsah4">
    <w:name w:val="toc 4"/>
    <w:basedOn w:val="Normln"/>
    <w:next w:val="Normln"/>
    <w:autoRedefine/>
    <w:uiPriority w:val="39"/>
    <w:unhideWhenUsed/>
    <w:rsid w:val="00300C83"/>
    <w:pPr>
      <w:pBdr>
        <w:between w:val="double" w:sz="6" w:space="0" w:color="auto"/>
      </w:pBdr>
      <w:spacing w:before="120" w:after="120"/>
      <w:ind w:left="440"/>
      <w:jc w:val="center"/>
    </w:pPr>
    <w:rPr>
      <w:rFonts w:asciiTheme="minorHAnsi" w:hAnsiTheme="minorHAnsi"/>
      <w:sz w:val="20"/>
      <w:szCs w:val="20"/>
    </w:rPr>
  </w:style>
  <w:style w:type="paragraph" w:styleId="Obsah5">
    <w:name w:val="toc 5"/>
    <w:basedOn w:val="Normln"/>
    <w:next w:val="Normln"/>
    <w:autoRedefine/>
    <w:uiPriority w:val="39"/>
    <w:unhideWhenUsed/>
    <w:rsid w:val="00300C83"/>
    <w:pPr>
      <w:pBdr>
        <w:between w:val="double" w:sz="6" w:space="0" w:color="auto"/>
      </w:pBdr>
      <w:spacing w:before="120" w:after="120"/>
      <w:ind w:left="660"/>
      <w:jc w:val="center"/>
    </w:pPr>
    <w:rPr>
      <w:rFonts w:asciiTheme="minorHAnsi" w:hAnsiTheme="minorHAnsi"/>
      <w:sz w:val="20"/>
      <w:szCs w:val="20"/>
    </w:rPr>
  </w:style>
  <w:style w:type="paragraph" w:styleId="Obsah6">
    <w:name w:val="toc 6"/>
    <w:basedOn w:val="Normln"/>
    <w:next w:val="Normln"/>
    <w:autoRedefine/>
    <w:uiPriority w:val="39"/>
    <w:unhideWhenUsed/>
    <w:rsid w:val="00300C83"/>
    <w:pPr>
      <w:pBdr>
        <w:between w:val="double" w:sz="6" w:space="0" w:color="auto"/>
      </w:pBdr>
      <w:spacing w:before="120" w:after="120"/>
      <w:ind w:left="880"/>
      <w:jc w:val="center"/>
    </w:pPr>
    <w:rPr>
      <w:rFonts w:asciiTheme="minorHAnsi" w:hAnsiTheme="minorHAnsi"/>
      <w:sz w:val="20"/>
      <w:szCs w:val="20"/>
    </w:rPr>
  </w:style>
  <w:style w:type="paragraph" w:styleId="Obsah7">
    <w:name w:val="toc 7"/>
    <w:basedOn w:val="Normln"/>
    <w:next w:val="Normln"/>
    <w:autoRedefine/>
    <w:uiPriority w:val="39"/>
    <w:unhideWhenUsed/>
    <w:rsid w:val="00300C83"/>
    <w:pPr>
      <w:pBdr>
        <w:between w:val="double" w:sz="6" w:space="0" w:color="auto"/>
      </w:pBdr>
      <w:spacing w:before="120" w:after="120"/>
      <w:ind w:left="1100"/>
      <w:jc w:val="center"/>
    </w:pPr>
    <w:rPr>
      <w:rFonts w:asciiTheme="minorHAnsi" w:hAnsiTheme="minorHAnsi"/>
      <w:sz w:val="20"/>
      <w:szCs w:val="20"/>
    </w:rPr>
  </w:style>
  <w:style w:type="paragraph" w:styleId="Obsah8">
    <w:name w:val="toc 8"/>
    <w:basedOn w:val="Normln"/>
    <w:next w:val="Normln"/>
    <w:autoRedefine/>
    <w:uiPriority w:val="39"/>
    <w:unhideWhenUsed/>
    <w:rsid w:val="00300C83"/>
    <w:pPr>
      <w:pBdr>
        <w:between w:val="double" w:sz="6" w:space="0" w:color="auto"/>
      </w:pBdr>
      <w:spacing w:before="120" w:after="120"/>
      <w:ind w:left="1320"/>
      <w:jc w:val="center"/>
    </w:pPr>
    <w:rPr>
      <w:rFonts w:asciiTheme="minorHAnsi" w:hAnsiTheme="minorHAnsi"/>
      <w:sz w:val="20"/>
      <w:szCs w:val="20"/>
    </w:rPr>
  </w:style>
  <w:style w:type="paragraph" w:styleId="Obsah9">
    <w:name w:val="toc 9"/>
    <w:basedOn w:val="Normln"/>
    <w:next w:val="Normln"/>
    <w:autoRedefine/>
    <w:uiPriority w:val="39"/>
    <w:unhideWhenUsed/>
    <w:rsid w:val="00300C83"/>
    <w:pPr>
      <w:pBdr>
        <w:between w:val="double" w:sz="6" w:space="0" w:color="auto"/>
      </w:pBdr>
      <w:spacing w:before="120" w:after="120"/>
      <w:ind w:left="1540"/>
      <w:jc w:val="center"/>
    </w:pPr>
    <w:rPr>
      <w:rFonts w:asciiTheme="minorHAnsi" w:hAnsiTheme="minorHAnsi"/>
      <w:sz w:val="20"/>
      <w:szCs w:val="20"/>
    </w:rPr>
  </w:style>
  <w:style w:type="paragraph" w:customStyle="1" w:styleId="CMFBtextnumbered">
    <w:name w:val="CMFB text numbered"/>
    <w:basedOn w:val="CMFBtextintable"/>
    <w:link w:val="CMFBtextnumberedChar"/>
    <w:qFormat/>
    <w:rsid w:val="00300C83"/>
    <w:pPr>
      <w:numPr>
        <w:numId w:val="4"/>
      </w:numPr>
      <w:tabs>
        <w:tab w:val="left" w:pos="567"/>
      </w:tabs>
      <w:ind w:left="567" w:hanging="534"/>
    </w:pPr>
  </w:style>
  <w:style w:type="paragraph" w:customStyle="1" w:styleId="CMFBnumberedtext">
    <w:name w:val="CMFB numbered text"/>
    <w:basedOn w:val="Normln"/>
    <w:link w:val="CMFBnumberedtextChar"/>
    <w:qFormat/>
    <w:rsid w:val="00CB2017"/>
    <w:pPr>
      <w:suppressAutoHyphens/>
      <w:spacing w:after="120" w:line="240" w:lineRule="auto"/>
      <w:jc w:val="both"/>
    </w:pPr>
    <w:rPr>
      <w:rFonts w:ascii="Times New Roman" w:eastAsia="Times New Roman" w:hAnsi="Times New Roman"/>
      <w:color w:val="000000"/>
      <w:sz w:val="24"/>
      <w:szCs w:val="24"/>
      <w:lang w:val="x-none" w:eastAsia="ar-SA"/>
    </w:rPr>
  </w:style>
  <w:style w:type="character" w:customStyle="1" w:styleId="CMFBtextnumberedChar">
    <w:name w:val="CMFB text numbered Char"/>
    <w:basedOn w:val="CMFBtextintableChar"/>
    <w:link w:val="CMFBtextnumbered"/>
    <w:rsid w:val="00300C83"/>
    <w:rPr>
      <w:rFonts w:ascii="Times New Roman" w:hAnsi="Times New Roman"/>
      <w:sz w:val="24"/>
      <w:szCs w:val="24"/>
      <w:lang w:eastAsia="en-US"/>
    </w:rPr>
  </w:style>
  <w:style w:type="paragraph" w:styleId="Nzev">
    <w:name w:val="Title"/>
    <w:basedOn w:val="Normln"/>
    <w:next w:val="Podtitul"/>
    <w:link w:val="NzevChar"/>
    <w:qFormat/>
    <w:rsid w:val="00CB2017"/>
    <w:pPr>
      <w:suppressAutoHyphens/>
      <w:spacing w:after="0" w:line="240" w:lineRule="auto"/>
      <w:jc w:val="center"/>
    </w:pPr>
    <w:rPr>
      <w:rFonts w:ascii="Times New Roman" w:eastAsia="Times New Roman" w:hAnsi="Times New Roman"/>
      <w:b/>
      <w:color w:val="000000"/>
      <w:sz w:val="32"/>
      <w:szCs w:val="20"/>
      <w:lang w:eastAsia="ar-SA"/>
    </w:rPr>
  </w:style>
  <w:style w:type="character" w:customStyle="1" w:styleId="NzevChar">
    <w:name w:val="Název Char"/>
    <w:basedOn w:val="Standardnpsmoodstavce"/>
    <w:link w:val="Nzev"/>
    <w:rsid w:val="00CB2017"/>
    <w:rPr>
      <w:rFonts w:ascii="Times New Roman" w:eastAsia="Times New Roman" w:hAnsi="Times New Roman"/>
      <w:b/>
      <w:color w:val="000000"/>
      <w:sz w:val="32"/>
      <w:lang w:eastAsia="ar-SA"/>
    </w:rPr>
  </w:style>
  <w:style w:type="character" w:customStyle="1" w:styleId="CMFBnumberedtextChar">
    <w:name w:val="CMFB numbered text Char"/>
    <w:link w:val="CMFBnumberedtext"/>
    <w:locked/>
    <w:rsid w:val="00CB2017"/>
    <w:rPr>
      <w:rFonts w:ascii="Times New Roman" w:eastAsia="Times New Roman" w:hAnsi="Times New Roman"/>
      <w:color w:val="000000"/>
      <w:sz w:val="24"/>
      <w:szCs w:val="24"/>
      <w:lang w:val="x-none" w:eastAsia="ar-SA"/>
    </w:rPr>
  </w:style>
  <w:style w:type="character" w:customStyle="1" w:styleId="CMFBBulletChar">
    <w:name w:val="CMFB Bullet Char"/>
    <w:basedOn w:val="CMFBnumberedtextChar"/>
    <w:link w:val="CMFBBullet"/>
    <w:locked/>
    <w:rsid w:val="00CB2017"/>
    <w:rPr>
      <w:rFonts w:ascii="Times New Roman" w:eastAsia="Times New Roman" w:hAnsi="Times New Roman"/>
      <w:color w:val="000000"/>
      <w:sz w:val="24"/>
      <w:szCs w:val="24"/>
      <w:lang w:val="x-none" w:eastAsia="ar-SA"/>
    </w:rPr>
  </w:style>
  <w:style w:type="paragraph" w:customStyle="1" w:styleId="CMFBBullet">
    <w:name w:val="CMFB Bullet"/>
    <w:basedOn w:val="CMFBnumberedtext"/>
    <w:link w:val="CMFBBulletChar"/>
    <w:qFormat/>
    <w:rsid w:val="00CB2017"/>
    <w:pPr>
      <w:numPr>
        <w:numId w:val="6"/>
      </w:numPr>
      <w:ind w:left="1134" w:hanging="567"/>
    </w:pPr>
  </w:style>
  <w:style w:type="paragraph" w:styleId="Podtitul">
    <w:name w:val="Subtitle"/>
    <w:basedOn w:val="Normln"/>
    <w:next w:val="Normln"/>
    <w:link w:val="PodtitulChar"/>
    <w:uiPriority w:val="11"/>
    <w:qFormat/>
    <w:rsid w:val="00CB20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B2017"/>
    <w:rPr>
      <w:rFonts w:asciiTheme="majorHAnsi" w:eastAsiaTheme="majorEastAsia" w:hAnsiTheme="majorHAnsi" w:cstheme="majorBidi"/>
      <w:i/>
      <w:iCs/>
      <w:color w:val="4F81BD" w:themeColor="accent1"/>
      <w:spacing w:val="15"/>
      <w:sz w:val="24"/>
      <w:szCs w:val="24"/>
      <w:lang w:eastAsia="en-US"/>
    </w:rPr>
  </w:style>
  <w:style w:type="character" w:customStyle="1" w:styleId="Nadpis4Char">
    <w:name w:val="Nadpis 4 Char"/>
    <w:aliases w:val="CMFB Heading 4 Char"/>
    <w:basedOn w:val="Standardnpsmoodstavce"/>
    <w:link w:val="Nadpis4"/>
    <w:uiPriority w:val="9"/>
    <w:rsid w:val="00A7335A"/>
    <w:rPr>
      <w:rFonts w:ascii="Times New Roman" w:eastAsiaTheme="majorEastAsia" w:hAnsi="Times New Roman"/>
      <w:bCs/>
      <w:i/>
      <w:iCs/>
      <w:sz w:val="24"/>
      <w:szCs w:val="24"/>
      <w:lang w:eastAsia="en-US"/>
    </w:rPr>
  </w:style>
  <w:style w:type="numbering" w:customStyle="1" w:styleId="Style1">
    <w:name w:val="Style1"/>
    <w:uiPriority w:val="99"/>
    <w:rsid w:val="00D227A9"/>
    <w:pPr>
      <w:numPr>
        <w:numId w:val="12"/>
      </w:numPr>
    </w:pPr>
  </w:style>
  <w:style w:type="numbering" w:customStyle="1" w:styleId="CMFBTGreportnumbering">
    <w:name w:val="CMFB TG report numbering"/>
    <w:uiPriority w:val="99"/>
    <w:rsid w:val="00A7335A"/>
    <w:pPr>
      <w:numPr>
        <w:numId w:val="13"/>
      </w:numPr>
    </w:pPr>
  </w:style>
  <w:style w:type="character" w:customStyle="1" w:styleId="Nadpis5Char">
    <w:name w:val="Nadpis 5 Char"/>
    <w:basedOn w:val="Standardnpsmoodstavce"/>
    <w:link w:val="Nadpis5"/>
    <w:uiPriority w:val="9"/>
    <w:rsid w:val="003540FB"/>
    <w:rPr>
      <w:rFonts w:asciiTheme="majorHAnsi" w:eastAsiaTheme="majorEastAsia" w:hAnsiTheme="majorHAnsi" w:cstheme="majorBidi"/>
      <w:color w:val="243F60" w:themeColor="accent1" w:themeShade="7F"/>
      <w:sz w:val="22"/>
      <w:szCs w:val="22"/>
      <w:lang w:eastAsia="en-US"/>
    </w:rPr>
  </w:style>
  <w:style w:type="table" w:styleId="Mkatabulky">
    <w:name w:val="Table Grid"/>
    <w:basedOn w:val="Normlntabulka"/>
    <w:uiPriority w:val="59"/>
    <w:rsid w:val="0024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FBfooter">
    <w:name w:val="CMFB footer"/>
    <w:basedOn w:val="Zpat"/>
    <w:link w:val="CMFBfooterChar"/>
    <w:qFormat/>
    <w:rsid w:val="00A36A37"/>
    <w:pPr>
      <w:pBdr>
        <w:top w:val="single" w:sz="4" w:space="1" w:color="auto"/>
      </w:pBdr>
      <w:tabs>
        <w:tab w:val="clear" w:pos="4513"/>
      </w:tabs>
    </w:pPr>
    <w:rPr>
      <w:rFonts w:ascii="Arial" w:hAnsi="Arial" w:cs="Arial"/>
      <w:sz w:val="16"/>
      <w:szCs w:val="16"/>
    </w:rPr>
  </w:style>
  <w:style w:type="character" w:styleId="slodku">
    <w:name w:val="line number"/>
    <w:basedOn w:val="Standardnpsmoodstavce"/>
    <w:uiPriority w:val="99"/>
    <w:semiHidden/>
    <w:unhideWhenUsed/>
    <w:rsid w:val="001C5D9A"/>
  </w:style>
  <w:style w:type="character" w:customStyle="1" w:styleId="CMFBfooterChar">
    <w:name w:val="CMFB footer Char"/>
    <w:basedOn w:val="ZpatChar"/>
    <w:link w:val="CMFBfooter"/>
    <w:rsid w:val="00A36A37"/>
    <w:rPr>
      <w:rFonts w:ascii="Arial" w:hAnsi="Arial" w:cs="Arial"/>
      <w:sz w:val="16"/>
      <w:szCs w:val="16"/>
      <w:lang w:eastAsia="en-US"/>
    </w:rPr>
  </w:style>
  <w:style w:type="character" w:styleId="Sledovanodkaz">
    <w:name w:val="FollowedHyperlink"/>
    <w:basedOn w:val="Standardnpsmoodstavce"/>
    <w:uiPriority w:val="99"/>
    <w:semiHidden/>
    <w:unhideWhenUsed/>
    <w:rsid w:val="0076455F"/>
    <w:rPr>
      <w:color w:val="800080" w:themeColor="followedHyperlink"/>
      <w:u w:val="single"/>
    </w:rPr>
  </w:style>
  <w:style w:type="paragraph" w:styleId="Revize">
    <w:name w:val="Revision"/>
    <w:hidden/>
    <w:uiPriority w:val="99"/>
    <w:semiHidden/>
    <w:rsid w:val="00B206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2299">
      <w:bodyDiv w:val="1"/>
      <w:marLeft w:val="0"/>
      <w:marRight w:val="0"/>
      <w:marTop w:val="0"/>
      <w:marBottom w:val="0"/>
      <w:divBdr>
        <w:top w:val="none" w:sz="0" w:space="0" w:color="auto"/>
        <w:left w:val="none" w:sz="0" w:space="0" w:color="auto"/>
        <w:bottom w:val="none" w:sz="0" w:space="0" w:color="auto"/>
        <w:right w:val="none" w:sz="0" w:space="0" w:color="auto"/>
      </w:divBdr>
      <w:divsChild>
        <w:div w:id="375860597">
          <w:marLeft w:val="720"/>
          <w:marRight w:val="0"/>
          <w:marTop w:val="240"/>
          <w:marBottom w:val="0"/>
          <w:divBdr>
            <w:top w:val="none" w:sz="0" w:space="0" w:color="auto"/>
            <w:left w:val="none" w:sz="0" w:space="0" w:color="auto"/>
            <w:bottom w:val="none" w:sz="0" w:space="0" w:color="auto"/>
            <w:right w:val="none" w:sz="0" w:space="0" w:color="auto"/>
          </w:divBdr>
        </w:div>
        <w:div w:id="785081352">
          <w:marLeft w:val="720"/>
          <w:marRight w:val="0"/>
          <w:marTop w:val="240"/>
          <w:marBottom w:val="0"/>
          <w:divBdr>
            <w:top w:val="none" w:sz="0" w:space="0" w:color="auto"/>
            <w:left w:val="none" w:sz="0" w:space="0" w:color="auto"/>
            <w:bottom w:val="none" w:sz="0" w:space="0" w:color="auto"/>
            <w:right w:val="none" w:sz="0" w:space="0" w:color="auto"/>
          </w:divBdr>
        </w:div>
        <w:div w:id="956571321">
          <w:marLeft w:val="720"/>
          <w:marRight w:val="0"/>
          <w:marTop w:val="240"/>
          <w:marBottom w:val="0"/>
          <w:divBdr>
            <w:top w:val="none" w:sz="0" w:space="0" w:color="auto"/>
            <w:left w:val="none" w:sz="0" w:space="0" w:color="auto"/>
            <w:bottom w:val="none" w:sz="0" w:space="0" w:color="auto"/>
            <w:right w:val="none" w:sz="0" w:space="0" w:color="auto"/>
          </w:divBdr>
        </w:div>
        <w:div w:id="1282149498">
          <w:marLeft w:val="720"/>
          <w:marRight w:val="0"/>
          <w:marTop w:val="240"/>
          <w:marBottom w:val="0"/>
          <w:divBdr>
            <w:top w:val="none" w:sz="0" w:space="0" w:color="auto"/>
            <w:left w:val="none" w:sz="0" w:space="0" w:color="auto"/>
            <w:bottom w:val="none" w:sz="0" w:space="0" w:color="auto"/>
            <w:right w:val="none" w:sz="0" w:space="0" w:color="auto"/>
          </w:divBdr>
        </w:div>
        <w:div w:id="1906795450">
          <w:marLeft w:val="720"/>
          <w:marRight w:val="0"/>
          <w:marTop w:val="240"/>
          <w:marBottom w:val="0"/>
          <w:divBdr>
            <w:top w:val="none" w:sz="0" w:space="0" w:color="auto"/>
            <w:left w:val="none" w:sz="0" w:space="0" w:color="auto"/>
            <w:bottom w:val="none" w:sz="0" w:space="0" w:color="auto"/>
            <w:right w:val="none" w:sz="0" w:space="0" w:color="auto"/>
          </w:divBdr>
        </w:div>
      </w:divsChild>
    </w:div>
    <w:div w:id="295599164">
      <w:bodyDiv w:val="1"/>
      <w:marLeft w:val="0"/>
      <w:marRight w:val="0"/>
      <w:marTop w:val="0"/>
      <w:marBottom w:val="0"/>
      <w:divBdr>
        <w:top w:val="none" w:sz="0" w:space="0" w:color="auto"/>
        <w:left w:val="none" w:sz="0" w:space="0" w:color="auto"/>
        <w:bottom w:val="none" w:sz="0" w:space="0" w:color="auto"/>
        <w:right w:val="none" w:sz="0" w:space="0" w:color="auto"/>
      </w:divBdr>
    </w:div>
    <w:div w:id="339087948">
      <w:bodyDiv w:val="1"/>
      <w:marLeft w:val="0"/>
      <w:marRight w:val="0"/>
      <w:marTop w:val="0"/>
      <w:marBottom w:val="0"/>
      <w:divBdr>
        <w:top w:val="none" w:sz="0" w:space="0" w:color="auto"/>
        <w:left w:val="none" w:sz="0" w:space="0" w:color="auto"/>
        <w:bottom w:val="none" w:sz="0" w:space="0" w:color="auto"/>
        <w:right w:val="none" w:sz="0" w:space="0" w:color="auto"/>
      </w:divBdr>
    </w:div>
    <w:div w:id="360589382">
      <w:bodyDiv w:val="1"/>
      <w:marLeft w:val="0"/>
      <w:marRight w:val="0"/>
      <w:marTop w:val="0"/>
      <w:marBottom w:val="0"/>
      <w:divBdr>
        <w:top w:val="none" w:sz="0" w:space="0" w:color="auto"/>
        <w:left w:val="none" w:sz="0" w:space="0" w:color="auto"/>
        <w:bottom w:val="none" w:sz="0" w:space="0" w:color="auto"/>
        <w:right w:val="none" w:sz="0" w:space="0" w:color="auto"/>
      </w:divBdr>
    </w:div>
    <w:div w:id="447431119">
      <w:bodyDiv w:val="1"/>
      <w:marLeft w:val="0"/>
      <w:marRight w:val="0"/>
      <w:marTop w:val="0"/>
      <w:marBottom w:val="0"/>
      <w:divBdr>
        <w:top w:val="none" w:sz="0" w:space="0" w:color="auto"/>
        <w:left w:val="none" w:sz="0" w:space="0" w:color="auto"/>
        <w:bottom w:val="none" w:sz="0" w:space="0" w:color="auto"/>
        <w:right w:val="none" w:sz="0" w:space="0" w:color="auto"/>
      </w:divBdr>
    </w:div>
    <w:div w:id="970939460">
      <w:bodyDiv w:val="1"/>
      <w:marLeft w:val="0"/>
      <w:marRight w:val="0"/>
      <w:marTop w:val="0"/>
      <w:marBottom w:val="0"/>
      <w:divBdr>
        <w:top w:val="none" w:sz="0" w:space="0" w:color="auto"/>
        <w:left w:val="none" w:sz="0" w:space="0" w:color="auto"/>
        <w:bottom w:val="none" w:sz="0" w:space="0" w:color="auto"/>
        <w:right w:val="none" w:sz="0" w:space="0" w:color="auto"/>
      </w:divBdr>
    </w:div>
    <w:div w:id="994989111">
      <w:bodyDiv w:val="1"/>
      <w:marLeft w:val="0"/>
      <w:marRight w:val="0"/>
      <w:marTop w:val="0"/>
      <w:marBottom w:val="0"/>
      <w:divBdr>
        <w:top w:val="none" w:sz="0" w:space="0" w:color="auto"/>
        <w:left w:val="none" w:sz="0" w:space="0" w:color="auto"/>
        <w:bottom w:val="none" w:sz="0" w:space="0" w:color="auto"/>
        <w:right w:val="none" w:sz="0" w:space="0" w:color="auto"/>
      </w:divBdr>
    </w:div>
    <w:div w:id="1465662034">
      <w:bodyDiv w:val="1"/>
      <w:marLeft w:val="0"/>
      <w:marRight w:val="0"/>
      <w:marTop w:val="0"/>
      <w:marBottom w:val="0"/>
      <w:divBdr>
        <w:top w:val="none" w:sz="0" w:space="0" w:color="auto"/>
        <w:left w:val="none" w:sz="0" w:space="0" w:color="auto"/>
        <w:bottom w:val="none" w:sz="0" w:space="0" w:color="auto"/>
        <w:right w:val="none" w:sz="0" w:space="0" w:color="auto"/>
      </w:divBdr>
      <w:divsChild>
        <w:div w:id="1244267009">
          <w:marLeft w:val="1166"/>
          <w:marRight w:val="0"/>
          <w:marTop w:val="480"/>
          <w:marBottom w:val="0"/>
          <w:divBdr>
            <w:top w:val="none" w:sz="0" w:space="0" w:color="auto"/>
            <w:left w:val="none" w:sz="0" w:space="0" w:color="auto"/>
            <w:bottom w:val="none" w:sz="0" w:space="0" w:color="auto"/>
            <w:right w:val="none" w:sz="0" w:space="0" w:color="auto"/>
          </w:divBdr>
        </w:div>
      </w:divsChild>
    </w:div>
    <w:div w:id="1576352349">
      <w:bodyDiv w:val="1"/>
      <w:marLeft w:val="0"/>
      <w:marRight w:val="0"/>
      <w:marTop w:val="0"/>
      <w:marBottom w:val="0"/>
      <w:divBdr>
        <w:top w:val="none" w:sz="0" w:space="0" w:color="auto"/>
        <w:left w:val="none" w:sz="0" w:space="0" w:color="auto"/>
        <w:bottom w:val="none" w:sz="0" w:space="0" w:color="auto"/>
        <w:right w:val="none" w:sz="0" w:space="0" w:color="auto"/>
      </w:divBdr>
    </w:div>
    <w:div w:id="1649243344">
      <w:bodyDiv w:val="1"/>
      <w:marLeft w:val="0"/>
      <w:marRight w:val="0"/>
      <w:marTop w:val="0"/>
      <w:marBottom w:val="0"/>
      <w:divBdr>
        <w:top w:val="none" w:sz="0" w:space="0" w:color="auto"/>
        <w:left w:val="none" w:sz="0" w:space="0" w:color="auto"/>
        <w:bottom w:val="none" w:sz="0" w:space="0" w:color="auto"/>
        <w:right w:val="none" w:sz="0" w:space="0" w:color="auto"/>
      </w:divBdr>
    </w:div>
    <w:div w:id="1858813697">
      <w:bodyDiv w:val="1"/>
      <w:marLeft w:val="0"/>
      <w:marRight w:val="0"/>
      <w:marTop w:val="0"/>
      <w:marBottom w:val="0"/>
      <w:divBdr>
        <w:top w:val="none" w:sz="0" w:space="0" w:color="auto"/>
        <w:left w:val="none" w:sz="0" w:space="0" w:color="auto"/>
        <w:bottom w:val="none" w:sz="0" w:space="0" w:color="auto"/>
        <w:right w:val="none" w:sz="0" w:space="0" w:color="auto"/>
      </w:divBdr>
    </w:div>
    <w:div w:id="1864399784">
      <w:bodyDiv w:val="1"/>
      <w:marLeft w:val="0"/>
      <w:marRight w:val="0"/>
      <w:marTop w:val="0"/>
      <w:marBottom w:val="0"/>
      <w:divBdr>
        <w:top w:val="none" w:sz="0" w:space="0" w:color="auto"/>
        <w:left w:val="none" w:sz="0" w:space="0" w:color="auto"/>
        <w:bottom w:val="none" w:sz="0" w:space="0" w:color="auto"/>
        <w:right w:val="none" w:sz="0" w:space="0" w:color="auto"/>
      </w:divBdr>
    </w:div>
    <w:div w:id="19446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b.cz/en/cnb-news/calendar/" TargetMode="External"/><Relationship Id="rId18" Type="http://schemas.openxmlformats.org/officeDocument/2006/relationships/hyperlink" Target="http://www.cnb.cz/docs/ARADY/HTML/index_en.htm" TargetMode="External"/><Relationship Id="rId26" Type="http://schemas.openxmlformats.org/officeDocument/2006/relationships/hyperlink" Target="https://www.cnb.cz/en/statistics/sdds-plu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nb.cz/en/statistics/bop_stat/" TargetMode="External"/><Relationship Id="rId34" Type="http://schemas.openxmlformats.org/officeDocument/2006/relationships/hyperlink" Target="https://www.cnb.cz/docs/ARADY/HTML/index_en.htm"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nb.cz/en/calendar/index.html" TargetMode="External"/><Relationship Id="rId17" Type="http://schemas.openxmlformats.org/officeDocument/2006/relationships/hyperlink" Target="https://www.cnb.cz/docs/ARADY/HTML/index_en.htm" TargetMode="External"/><Relationship Id="rId25" Type="http://schemas.openxmlformats.org/officeDocument/2006/relationships/hyperlink" Target="https://www.destatis.de/DE/ZahlenFakten/Indikatoren/Konjunkturindikatoren/IMF/IMF_IWF.html" TargetMode="External"/><Relationship Id="rId33" Type="http://schemas.openxmlformats.org/officeDocument/2006/relationships/hyperlink" Target="https://www.cnb.cz/en/statistics/bop_stat/"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nb.cz/en/statistics/sdds-plus/" TargetMode="External"/><Relationship Id="rId20" Type="http://schemas.openxmlformats.org/officeDocument/2006/relationships/hyperlink" Target="https://www.cnb.cz/docs/ARADY/HTML/index_en.htm" TargetMode="External"/><Relationship Id="rId29" Type="http://schemas.openxmlformats.org/officeDocument/2006/relationships/hyperlink" Target="https://www.cnb.cz/en/statistics/bop_sta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b.cz/en/statistics/cnb-statistics-regulations/regulations-regarding-the-balance-of-payments-statistics/" TargetMode="External"/><Relationship Id="rId24" Type="http://schemas.openxmlformats.org/officeDocument/2006/relationships/hyperlink" Target="http://www.bundesbank.de/Redaktion/EN/Standardartikel/Statistics/Date/balance_of_payment.html" TargetMode="External"/><Relationship Id="rId32" Type="http://schemas.openxmlformats.org/officeDocument/2006/relationships/hyperlink" Target="http://www.cnb.cz/en/statistics/bop_stat/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nb.cz/en/statistics/bop_stat/implementing-the-new-balance-of-payments-manual-bpm6/" TargetMode="External"/><Relationship Id="rId23" Type="http://schemas.openxmlformats.org/officeDocument/2006/relationships/hyperlink" Target="https://www.cnb.cz/en/cnb-news/calendar/" TargetMode="External"/><Relationship Id="rId28" Type="http://schemas.openxmlformats.org/officeDocument/2006/relationships/hyperlink" Target="http://www.cnb.cz/en/statistics/bop_stat/index.html" TargetMode="External"/><Relationship Id="rId36" Type="http://schemas.openxmlformats.org/officeDocument/2006/relationships/hyperlink" Target="http://www.bundesbank.de/Navigation/EN/Statistics/Time_series_databases/Macro_economic_time_series/macro_economic_time_series_node.html" TargetMode="External"/><Relationship Id="rId10" Type="http://schemas.openxmlformats.org/officeDocument/2006/relationships/hyperlink" Target="https://www.cnb.cz/en/statistics/cnb-statistics-regulations/regulations-regarding-the-balance-of-payments-statistics/" TargetMode="External"/><Relationship Id="rId19" Type="http://schemas.openxmlformats.org/officeDocument/2006/relationships/hyperlink" Target="https://www.cnb.cz/en/statistics/sdds-plus/" TargetMode="External"/><Relationship Id="rId31" Type="http://schemas.openxmlformats.org/officeDocument/2006/relationships/hyperlink" Target="%20http:/www.cnb.cz/cnb/stat.arady_pkg.strom_drill?p_strid=AD&amp;p_lang=EN"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nb.cz/en/about_cnb/performance/annual-reports/" TargetMode="External"/><Relationship Id="rId14" Type="http://schemas.openxmlformats.org/officeDocument/2006/relationships/hyperlink" Target="http://www.cnb.cz/en/statistics/bop_stat/bop_q/index.html" TargetMode="External"/><Relationship Id="rId22" Type="http://schemas.openxmlformats.org/officeDocument/2006/relationships/hyperlink" Target="http://www.cnb.cz/en/calendar/index.html" TargetMode="External"/><Relationship Id="rId27" Type="http://schemas.openxmlformats.org/officeDocument/2006/relationships/hyperlink" Target="http://www.cnb.cz/en/statistics/sdds/" TargetMode="External"/><Relationship Id="rId30" Type="http://schemas.openxmlformats.org/officeDocument/2006/relationships/hyperlink" Target="https://www.cnb.cz/docs/ARADY/HTML/index_en.htm" TargetMode="External"/><Relationship Id="rId35" Type="http://schemas.openxmlformats.org/officeDocument/2006/relationships/hyperlink" Target="http://www.cnb.cz/cnb/STAT.ARADY_PKG.STROM_DRILL?p_strid=ADB&amp;p_lang=EN"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7736-1A4A-48F0-A4E1-AABBA6FE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3375</Words>
  <Characters>19915</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TVARIJONAVICIUTE Irena (ESTAT)</dc:creator>
  <cp:lastModifiedBy>Olšovský Rudolf</cp:lastModifiedBy>
  <cp:revision>5</cp:revision>
  <cp:lastPrinted>2015-07-30T08:07:00Z</cp:lastPrinted>
  <dcterms:created xsi:type="dcterms:W3CDTF">2019-06-27T08:00:00Z</dcterms:created>
  <dcterms:modified xsi:type="dcterms:W3CDTF">2019-06-27T08:37:00Z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1053367833</vt:i4>
  </property>
  <property fmtid="{D5CDD505-2E9C-101B-9397-08002B2CF9AE}" pid="3" name="_NewReviewCycle">
    <vt:lpwstr/>
  </property>
  <property fmtid="{D5CDD505-2E9C-101B-9397-08002B2CF9AE}" pid="4" name="_EmailSubject">
    <vt:lpwstr>Aktualizace dokumentu a odkaz na CMFB</vt:lpwstr>
  </property>
  <property fmtid="{D5CDD505-2E9C-101B-9397-08002B2CF9AE}" pid="5" name="_AuthorEmail">
    <vt:lpwstr>Rudolf.Olsovsky@cnb.cz</vt:lpwstr>
  </property>
  <property fmtid="{D5CDD505-2E9C-101B-9397-08002B2CF9AE}" pid="6" name="_AuthorEmailDisplayName">
    <vt:lpwstr>Olšovský Rudolf</vt:lpwstr>
  </property>
  <property fmtid="{D5CDD505-2E9C-101B-9397-08002B2CF9AE}" pid="7" name="_PreviousAdHocReviewCycleID">
    <vt:i4>-2128095304</vt:i4>
  </property>
</Properties>
</file>