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564" w:rsidRPr="00463E1A" w:rsidRDefault="006B2564" w:rsidP="006B2564">
      <w:pPr>
        <w:rPr>
          <w:szCs w:val="22"/>
        </w:rPr>
      </w:pPr>
      <w:bookmarkStart w:id="0" w:name="_GoBack"/>
      <w:bookmarkEnd w:id="0"/>
      <w:r w:rsidRPr="00463E1A">
        <w:rPr>
          <w:noProof/>
          <w:szCs w:val="22"/>
          <w:lang w:eastAsia="cs-CZ"/>
        </w:rPr>
        <w:drawing>
          <wp:anchor distT="0" distB="0" distL="114300" distR="114300" simplePos="0" relativeHeight="251662336" behindDoc="0" locked="0" layoutInCell="1" allowOverlap="1" wp14:anchorId="2739329A" wp14:editId="58570EDE">
            <wp:simplePos x="0" y="0"/>
            <wp:positionH relativeFrom="margin">
              <wp:align>right</wp:align>
            </wp:positionH>
            <wp:positionV relativeFrom="margin">
              <wp:align>top</wp:align>
            </wp:positionV>
            <wp:extent cx="1706880" cy="721995"/>
            <wp:effectExtent l="0" t="0" r="7620" b="1905"/>
            <wp:wrapNone/>
            <wp:docPr id="2" name="Picture 7" descr="CNB_logo_CZ_2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CNB_logo_CZ_2r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6880" cy="721995"/>
                    </a:xfrm>
                    <a:prstGeom prst="rect">
                      <a:avLst/>
                    </a:prstGeom>
                    <a:noFill/>
                    <a:ln>
                      <a:noFill/>
                    </a:ln>
                    <a:extLst/>
                  </pic:spPr>
                </pic:pic>
              </a:graphicData>
            </a:graphic>
          </wp:anchor>
        </w:drawing>
      </w:r>
    </w:p>
    <w:p w:rsidR="006B2564" w:rsidRPr="00463E1A" w:rsidRDefault="006B2564" w:rsidP="006B2564">
      <w:pPr>
        <w:rPr>
          <w:szCs w:val="22"/>
        </w:rPr>
      </w:pPr>
    </w:p>
    <w:p w:rsidR="006B2564" w:rsidRPr="00463E1A" w:rsidRDefault="006B2564" w:rsidP="006B2564">
      <w:pPr>
        <w:rPr>
          <w:szCs w:val="22"/>
        </w:rPr>
      </w:pPr>
    </w:p>
    <w:p w:rsidR="006B2564" w:rsidRPr="00463E1A" w:rsidRDefault="006B2564" w:rsidP="006B2564">
      <w:pPr>
        <w:rPr>
          <w:szCs w:val="22"/>
        </w:rPr>
      </w:pPr>
    </w:p>
    <w:p w:rsidR="006B2564" w:rsidRPr="00463E1A" w:rsidRDefault="006B2564" w:rsidP="006B2564">
      <w:pPr>
        <w:rPr>
          <w:szCs w:val="22"/>
        </w:rPr>
      </w:pPr>
    </w:p>
    <w:p w:rsidR="006B2564" w:rsidRPr="00463E1A" w:rsidRDefault="006B2564" w:rsidP="006B2564">
      <w:pPr>
        <w:rPr>
          <w:szCs w:val="22"/>
        </w:rPr>
      </w:pPr>
    </w:p>
    <w:p w:rsidR="006B2564" w:rsidRPr="00463E1A" w:rsidRDefault="006B2564" w:rsidP="006B2564">
      <w:pPr>
        <w:rPr>
          <w:szCs w:val="22"/>
        </w:rPr>
      </w:pPr>
    </w:p>
    <w:p w:rsidR="006B2564" w:rsidRPr="00463E1A" w:rsidRDefault="006B2564" w:rsidP="006B2564">
      <w:pPr>
        <w:rPr>
          <w:szCs w:val="22"/>
        </w:rPr>
      </w:pPr>
    </w:p>
    <w:p w:rsidR="006B2564" w:rsidRPr="00463E1A" w:rsidRDefault="006B2564" w:rsidP="006B2564">
      <w:pPr>
        <w:rPr>
          <w:szCs w:val="22"/>
        </w:rPr>
      </w:pPr>
    </w:p>
    <w:p w:rsidR="006B2564" w:rsidRPr="00463E1A" w:rsidRDefault="006B2564" w:rsidP="006B2564">
      <w:pPr>
        <w:rPr>
          <w:szCs w:val="22"/>
        </w:rPr>
      </w:pPr>
    </w:p>
    <w:p w:rsidR="006B2564" w:rsidRPr="00463E1A" w:rsidRDefault="006B2564" w:rsidP="006B2564">
      <w:pPr>
        <w:rPr>
          <w:szCs w:val="22"/>
        </w:rPr>
      </w:pPr>
    </w:p>
    <w:p w:rsidR="006B2564" w:rsidRPr="00463E1A" w:rsidRDefault="006B2564" w:rsidP="006B2564">
      <w:pPr>
        <w:rPr>
          <w:szCs w:val="22"/>
        </w:rPr>
      </w:pPr>
    </w:p>
    <w:p w:rsidR="006B2564" w:rsidRPr="00463E1A" w:rsidRDefault="006B2564" w:rsidP="006B2564">
      <w:pPr>
        <w:rPr>
          <w:szCs w:val="22"/>
        </w:rPr>
      </w:pPr>
    </w:p>
    <w:p w:rsidR="006B2564" w:rsidRPr="00463E1A" w:rsidRDefault="006B2564" w:rsidP="006B2564">
      <w:pPr>
        <w:rPr>
          <w:szCs w:val="22"/>
        </w:rPr>
      </w:pPr>
    </w:p>
    <w:p w:rsidR="006B2564" w:rsidRPr="00463E1A" w:rsidRDefault="006B2564" w:rsidP="006B2564">
      <w:pPr>
        <w:rPr>
          <w:szCs w:val="22"/>
        </w:rPr>
      </w:pPr>
    </w:p>
    <w:p w:rsidR="006B2564" w:rsidRPr="00463E1A" w:rsidRDefault="006B2564" w:rsidP="006B2564">
      <w:pPr>
        <w:rPr>
          <w:szCs w:val="22"/>
        </w:rPr>
      </w:pPr>
    </w:p>
    <w:p w:rsidR="006B2564" w:rsidRPr="00463E1A" w:rsidRDefault="006B2564" w:rsidP="006B2564">
      <w:pPr>
        <w:rPr>
          <w:szCs w:val="22"/>
        </w:rPr>
      </w:pPr>
    </w:p>
    <w:p w:rsidR="006B2564" w:rsidRPr="00463E1A" w:rsidRDefault="006B2564" w:rsidP="006B2564">
      <w:pPr>
        <w:rPr>
          <w:szCs w:val="22"/>
        </w:rPr>
      </w:pPr>
    </w:p>
    <w:p w:rsidR="006B2564" w:rsidRPr="00463E1A" w:rsidRDefault="006B2564" w:rsidP="006B2564">
      <w:pPr>
        <w:rPr>
          <w:szCs w:val="22"/>
        </w:rPr>
      </w:pPr>
    </w:p>
    <w:p w:rsidR="006B2564" w:rsidRPr="00463E1A" w:rsidRDefault="006B2564" w:rsidP="006B2564">
      <w:pPr>
        <w:rPr>
          <w:sz w:val="28"/>
          <w:szCs w:val="28"/>
        </w:rPr>
      </w:pPr>
    </w:p>
    <w:p w:rsidR="006B2564" w:rsidRPr="00463E1A" w:rsidRDefault="006B2564" w:rsidP="006B2564">
      <w:pPr>
        <w:jc w:val="center"/>
        <w:rPr>
          <w:color w:val="17365D" w:themeColor="text2" w:themeShade="BF"/>
          <w:sz w:val="28"/>
          <w:szCs w:val="28"/>
        </w:rPr>
      </w:pPr>
      <w:r w:rsidRPr="00463E1A">
        <w:rPr>
          <w:b/>
          <w:caps/>
          <w:color w:val="365F91" w:themeColor="accent1" w:themeShade="BF"/>
          <w:sz w:val="28"/>
          <w:szCs w:val="28"/>
          <w:u w:val="single"/>
        </w:rPr>
        <w:t>národní specifika vykazování do anacredit</w:t>
      </w:r>
      <w:r w:rsidRPr="00463E1A">
        <w:rPr>
          <w:color w:val="17365D" w:themeColor="text2" w:themeShade="BF"/>
          <w:sz w:val="28"/>
          <w:szCs w:val="28"/>
        </w:rPr>
        <w:t xml:space="preserve"> </w:t>
      </w:r>
    </w:p>
    <w:p w:rsidR="006B2564" w:rsidRPr="00463E1A" w:rsidRDefault="006B2564" w:rsidP="006B2564">
      <w:pPr>
        <w:rPr>
          <w:szCs w:val="22"/>
        </w:rPr>
      </w:pPr>
    </w:p>
    <w:p w:rsidR="006B2564" w:rsidRPr="00463E1A" w:rsidRDefault="006B2564" w:rsidP="006B2564">
      <w:pPr>
        <w:rPr>
          <w:szCs w:val="22"/>
        </w:rPr>
      </w:pPr>
    </w:p>
    <w:p w:rsidR="006B2564" w:rsidRPr="00463E1A" w:rsidRDefault="006B2564" w:rsidP="006B2564">
      <w:pPr>
        <w:rPr>
          <w:szCs w:val="22"/>
        </w:rPr>
      </w:pPr>
    </w:p>
    <w:p w:rsidR="006B2564" w:rsidRPr="00463E1A" w:rsidRDefault="006B2564" w:rsidP="006B2564">
      <w:pPr>
        <w:rPr>
          <w:szCs w:val="22"/>
        </w:rPr>
      </w:pPr>
    </w:p>
    <w:p w:rsidR="006B2564" w:rsidRPr="00463E1A" w:rsidRDefault="006B2564" w:rsidP="006B2564">
      <w:pPr>
        <w:rPr>
          <w:szCs w:val="22"/>
        </w:rPr>
      </w:pPr>
    </w:p>
    <w:p w:rsidR="006B2564" w:rsidRPr="00463E1A" w:rsidRDefault="006B2564" w:rsidP="006B2564">
      <w:pPr>
        <w:rPr>
          <w:szCs w:val="22"/>
        </w:rPr>
      </w:pPr>
    </w:p>
    <w:p w:rsidR="006B2564" w:rsidRPr="00463E1A" w:rsidRDefault="006B2564" w:rsidP="006B2564">
      <w:pPr>
        <w:rPr>
          <w:szCs w:val="22"/>
        </w:rPr>
      </w:pPr>
    </w:p>
    <w:p w:rsidR="006B2564" w:rsidRPr="00463E1A" w:rsidRDefault="006B2564" w:rsidP="006B2564">
      <w:pPr>
        <w:rPr>
          <w:szCs w:val="22"/>
        </w:rPr>
      </w:pPr>
    </w:p>
    <w:p w:rsidR="006B2564" w:rsidRPr="00463E1A" w:rsidRDefault="006B2564" w:rsidP="006B2564">
      <w:pPr>
        <w:rPr>
          <w:szCs w:val="22"/>
        </w:rPr>
      </w:pPr>
    </w:p>
    <w:p w:rsidR="006B2564" w:rsidRPr="00463E1A" w:rsidRDefault="006B2564" w:rsidP="006B2564">
      <w:pPr>
        <w:rPr>
          <w:szCs w:val="22"/>
        </w:rPr>
      </w:pPr>
    </w:p>
    <w:p w:rsidR="006B2564" w:rsidRPr="00463E1A" w:rsidRDefault="006B2564" w:rsidP="006B2564">
      <w:pPr>
        <w:rPr>
          <w:szCs w:val="22"/>
        </w:rPr>
      </w:pPr>
    </w:p>
    <w:p w:rsidR="006B2564" w:rsidRPr="00463E1A" w:rsidRDefault="006B2564" w:rsidP="006B2564">
      <w:pPr>
        <w:rPr>
          <w:szCs w:val="22"/>
        </w:rPr>
      </w:pPr>
      <w:r w:rsidRPr="00463E1A">
        <w:rPr>
          <w:szCs w:val="22"/>
        </w:rPr>
        <w:br w:type="column"/>
      </w:r>
      <w:r w:rsidRPr="00463E1A">
        <w:rPr>
          <w:szCs w:val="22"/>
        </w:rPr>
        <w:lastRenderedPageBreak/>
        <w:t>Verze dokumentu:</w:t>
      </w:r>
    </w:p>
    <w:tbl>
      <w:tblPr>
        <w:tblStyle w:val="TableGrid"/>
        <w:tblW w:w="0" w:type="auto"/>
        <w:tblLook w:val="04A0" w:firstRow="1" w:lastRow="0" w:firstColumn="1" w:lastColumn="0" w:noHBand="0" w:noVBand="1"/>
      </w:tblPr>
      <w:tblGrid>
        <w:gridCol w:w="1691"/>
        <w:gridCol w:w="5363"/>
        <w:gridCol w:w="2234"/>
      </w:tblGrid>
      <w:tr w:rsidR="00382363" w:rsidRPr="00463E1A" w:rsidTr="00382363">
        <w:tc>
          <w:tcPr>
            <w:tcW w:w="1691" w:type="dxa"/>
          </w:tcPr>
          <w:p w:rsidR="00382363" w:rsidRPr="00463E1A" w:rsidRDefault="00382363" w:rsidP="006B2564">
            <w:pPr>
              <w:jc w:val="left"/>
              <w:rPr>
                <w:rFonts w:ascii="Times New Roman" w:hAnsi="Times New Roman"/>
                <w:szCs w:val="22"/>
              </w:rPr>
            </w:pPr>
            <w:r w:rsidRPr="00463E1A">
              <w:rPr>
                <w:rFonts w:ascii="Times New Roman" w:hAnsi="Times New Roman"/>
                <w:szCs w:val="22"/>
              </w:rPr>
              <w:t xml:space="preserve">Verze 1.0 </w:t>
            </w:r>
          </w:p>
        </w:tc>
        <w:tc>
          <w:tcPr>
            <w:tcW w:w="5363" w:type="dxa"/>
          </w:tcPr>
          <w:p w:rsidR="00463E1A" w:rsidRPr="00463E1A" w:rsidRDefault="00463E1A" w:rsidP="00463E1A">
            <w:pPr>
              <w:pStyle w:val="ListParagraph"/>
              <w:numPr>
                <w:ilvl w:val="0"/>
                <w:numId w:val="26"/>
              </w:numPr>
              <w:ind w:left="10" w:hanging="851"/>
              <w:jc w:val="left"/>
              <w:rPr>
                <w:rFonts w:ascii="Times New Roman" w:hAnsi="Times New Roman"/>
                <w:szCs w:val="22"/>
              </w:rPr>
            </w:pPr>
            <w:r w:rsidRPr="00463E1A">
              <w:rPr>
                <w:rFonts w:ascii="Times New Roman" w:hAnsi="Times New Roman"/>
                <w:szCs w:val="22"/>
              </w:rPr>
              <w:t>Sloučení dokumentů:</w:t>
            </w:r>
          </w:p>
          <w:p w:rsidR="00463E1A" w:rsidRPr="00463E1A" w:rsidRDefault="00463E1A" w:rsidP="00463E1A">
            <w:pPr>
              <w:pStyle w:val="ListParagraph"/>
              <w:numPr>
                <w:ilvl w:val="1"/>
                <w:numId w:val="26"/>
              </w:numPr>
              <w:ind w:left="10" w:hanging="851"/>
              <w:jc w:val="left"/>
              <w:rPr>
                <w:rFonts w:ascii="Times New Roman" w:hAnsi="Times New Roman"/>
                <w:szCs w:val="22"/>
              </w:rPr>
            </w:pPr>
            <w:r w:rsidRPr="00463E1A">
              <w:rPr>
                <w:rFonts w:ascii="Times New Roman" w:hAnsi="Times New Roman"/>
                <w:szCs w:val="22"/>
              </w:rPr>
              <w:t xml:space="preserve">- </w:t>
            </w:r>
            <w:r w:rsidRPr="00463E1A">
              <w:rPr>
                <w:rFonts w:ascii="Times New Roman" w:hAnsi="Times New Roman"/>
                <w:szCs w:val="22"/>
              </w:rPr>
              <w:t>Specifické požadavky na reporting úvěrových dat</w:t>
            </w:r>
          </w:p>
          <w:p w:rsidR="00463E1A" w:rsidRPr="00463E1A" w:rsidRDefault="00463E1A" w:rsidP="00463E1A">
            <w:pPr>
              <w:pStyle w:val="ListParagraph"/>
              <w:numPr>
                <w:ilvl w:val="1"/>
                <w:numId w:val="26"/>
              </w:numPr>
              <w:ind w:left="10" w:hanging="851"/>
              <w:jc w:val="left"/>
              <w:rPr>
                <w:rFonts w:ascii="Times New Roman" w:hAnsi="Times New Roman"/>
                <w:szCs w:val="22"/>
              </w:rPr>
            </w:pPr>
            <w:r w:rsidRPr="00463E1A">
              <w:rPr>
                <w:rFonts w:ascii="Times New Roman" w:hAnsi="Times New Roman"/>
                <w:szCs w:val="22"/>
              </w:rPr>
              <w:t xml:space="preserve">- </w:t>
            </w:r>
            <w:r w:rsidRPr="00463E1A">
              <w:rPr>
                <w:rFonts w:ascii="Times New Roman" w:hAnsi="Times New Roman"/>
                <w:szCs w:val="22"/>
              </w:rPr>
              <w:t>Vykazování nepovolených debetů</w:t>
            </w:r>
          </w:p>
          <w:p w:rsidR="00463E1A" w:rsidRPr="00463E1A" w:rsidRDefault="00463E1A" w:rsidP="00463E1A">
            <w:pPr>
              <w:pStyle w:val="ListParagraph"/>
              <w:numPr>
                <w:ilvl w:val="1"/>
                <w:numId w:val="26"/>
              </w:numPr>
              <w:ind w:left="10" w:hanging="851"/>
              <w:jc w:val="left"/>
              <w:rPr>
                <w:rFonts w:ascii="Times New Roman" w:hAnsi="Times New Roman"/>
                <w:szCs w:val="22"/>
              </w:rPr>
            </w:pPr>
            <w:r w:rsidRPr="00463E1A">
              <w:rPr>
                <w:rFonts w:ascii="Times New Roman" w:hAnsi="Times New Roman"/>
                <w:szCs w:val="22"/>
              </w:rPr>
              <w:t xml:space="preserve">- </w:t>
            </w:r>
            <w:r w:rsidRPr="00463E1A">
              <w:rPr>
                <w:rFonts w:ascii="Times New Roman" w:hAnsi="Times New Roman"/>
                <w:szCs w:val="22"/>
              </w:rPr>
              <w:t>Manuál pro reporting ukončených instrumentů</w:t>
            </w:r>
          </w:p>
          <w:p w:rsidR="00463E1A" w:rsidRPr="00463E1A" w:rsidRDefault="00463E1A" w:rsidP="00463E1A">
            <w:pPr>
              <w:pStyle w:val="ListParagraph"/>
              <w:numPr>
                <w:ilvl w:val="1"/>
                <w:numId w:val="26"/>
              </w:numPr>
              <w:ind w:left="10" w:hanging="851"/>
              <w:jc w:val="left"/>
              <w:rPr>
                <w:rFonts w:ascii="Times New Roman" w:hAnsi="Times New Roman"/>
                <w:szCs w:val="22"/>
              </w:rPr>
            </w:pPr>
          </w:p>
          <w:p w:rsidR="00463E1A" w:rsidRPr="00463E1A" w:rsidRDefault="00463E1A" w:rsidP="00463E1A">
            <w:pPr>
              <w:pStyle w:val="ListParagraph"/>
              <w:ind w:left="10"/>
              <w:jc w:val="left"/>
              <w:rPr>
                <w:rFonts w:ascii="Times New Roman" w:hAnsi="Times New Roman"/>
                <w:szCs w:val="22"/>
              </w:rPr>
            </w:pPr>
            <w:r w:rsidRPr="00463E1A">
              <w:rPr>
                <w:rFonts w:ascii="Times New Roman" w:hAnsi="Times New Roman"/>
                <w:szCs w:val="22"/>
              </w:rPr>
              <w:t>Vložení popisu vykazování plně odepsaných pohledávek</w:t>
            </w:r>
          </w:p>
          <w:p w:rsidR="00095F4C" w:rsidRPr="00463E1A" w:rsidRDefault="00095F4C" w:rsidP="00463E1A">
            <w:pPr>
              <w:jc w:val="left"/>
              <w:rPr>
                <w:rFonts w:ascii="Times New Roman" w:hAnsi="Times New Roman"/>
                <w:szCs w:val="22"/>
              </w:rPr>
            </w:pPr>
          </w:p>
        </w:tc>
        <w:tc>
          <w:tcPr>
            <w:tcW w:w="2234" w:type="dxa"/>
          </w:tcPr>
          <w:p w:rsidR="00382363" w:rsidRPr="00463E1A" w:rsidRDefault="00095F4C" w:rsidP="006B2564">
            <w:pPr>
              <w:rPr>
                <w:rFonts w:ascii="Times New Roman" w:hAnsi="Times New Roman"/>
                <w:szCs w:val="22"/>
              </w:rPr>
            </w:pPr>
            <w:r w:rsidRPr="00463E1A">
              <w:rPr>
                <w:rFonts w:ascii="Times New Roman" w:hAnsi="Times New Roman"/>
                <w:szCs w:val="22"/>
              </w:rPr>
              <w:t>11.2.2019</w:t>
            </w:r>
          </w:p>
        </w:tc>
      </w:tr>
    </w:tbl>
    <w:p w:rsidR="004B484F" w:rsidRPr="00463E1A" w:rsidRDefault="004B484F" w:rsidP="004B484F">
      <w:pPr>
        <w:pStyle w:val="Caption"/>
        <w:keepNext/>
        <w:rPr>
          <w:rFonts w:ascii="Times New Roman" w:hAnsi="Times New Roman"/>
          <w:szCs w:val="22"/>
        </w:rPr>
      </w:pPr>
    </w:p>
    <w:p w:rsidR="006B2564" w:rsidRPr="00463E1A" w:rsidRDefault="006B2564" w:rsidP="006B2564">
      <w:pPr>
        <w:rPr>
          <w:szCs w:val="22"/>
        </w:rPr>
      </w:pPr>
      <w:r w:rsidRPr="00463E1A">
        <w:rPr>
          <w:szCs w:val="22"/>
        </w:rPr>
        <w:t>Rušené dokumenty:</w:t>
      </w:r>
    </w:p>
    <w:tbl>
      <w:tblPr>
        <w:tblStyle w:val="TableGrid"/>
        <w:tblW w:w="9402" w:type="dxa"/>
        <w:tblLook w:val="04A0" w:firstRow="1" w:lastRow="0" w:firstColumn="1" w:lastColumn="0" w:noHBand="0" w:noVBand="1"/>
      </w:tblPr>
      <w:tblGrid>
        <w:gridCol w:w="9402"/>
      </w:tblGrid>
      <w:tr w:rsidR="006B2564" w:rsidRPr="00463E1A" w:rsidTr="006B2564">
        <w:trPr>
          <w:trHeight w:val="509"/>
        </w:trPr>
        <w:tc>
          <w:tcPr>
            <w:tcW w:w="9402" w:type="dxa"/>
          </w:tcPr>
          <w:p w:rsidR="006B2564" w:rsidRPr="00463E1A" w:rsidRDefault="006B2564" w:rsidP="006B2564">
            <w:pPr>
              <w:jc w:val="left"/>
              <w:rPr>
                <w:rFonts w:ascii="Times New Roman" w:hAnsi="Times New Roman"/>
                <w:szCs w:val="22"/>
              </w:rPr>
            </w:pPr>
            <w:hyperlink r:id="rId10" w:tgtFrame="_self" w:history="1">
              <w:r w:rsidRPr="00463E1A">
                <w:rPr>
                  <w:rStyle w:val="Hyperlink"/>
                  <w:rFonts w:ascii="Times New Roman" w:hAnsi="Times New Roman"/>
                  <w:szCs w:val="22"/>
                </w:rPr>
                <w:t xml:space="preserve">Specifické požadavky na reporting úvěrových dat (v4.0, 30/11/18, </w:t>
              </w:r>
              <w:proofErr w:type="spellStart"/>
              <w:r w:rsidRPr="00463E1A">
                <w:rPr>
                  <w:rStyle w:val="Hyperlink"/>
                  <w:rFonts w:ascii="Times New Roman" w:hAnsi="Times New Roman"/>
                  <w:szCs w:val="22"/>
                </w:rPr>
                <w:t>xlsx</w:t>
              </w:r>
              <w:proofErr w:type="spellEnd"/>
              <w:r w:rsidRPr="00463E1A">
                <w:rPr>
                  <w:rStyle w:val="Hyperlink"/>
                  <w:rFonts w:ascii="Times New Roman" w:hAnsi="Times New Roman"/>
                  <w:szCs w:val="22"/>
                </w:rPr>
                <w:t>)</w:t>
              </w:r>
            </w:hyperlink>
            <w:r w:rsidR="00382363" w:rsidRPr="00463E1A">
              <w:rPr>
                <w:rFonts w:ascii="Times New Roman" w:hAnsi="Times New Roman"/>
                <w:szCs w:val="22"/>
              </w:rPr>
              <w:t xml:space="preserve"> –  </w:t>
            </w:r>
            <w:r w:rsidRPr="00463E1A">
              <w:rPr>
                <w:rFonts w:ascii="Times New Roman" w:hAnsi="Times New Roman"/>
                <w:szCs w:val="22"/>
              </w:rPr>
              <w:t>včleněno do tohoto dokumentu</w:t>
            </w:r>
          </w:p>
        </w:tc>
      </w:tr>
      <w:tr w:rsidR="006B2564" w:rsidRPr="00463E1A" w:rsidTr="006B2564">
        <w:trPr>
          <w:trHeight w:val="522"/>
        </w:trPr>
        <w:tc>
          <w:tcPr>
            <w:tcW w:w="9402" w:type="dxa"/>
          </w:tcPr>
          <w:p w:rsidR="006B2564" w:rsidRPr="00463E1A" w:rsidRDefault="006B2564" w:rsidP="006B2564">
            <w:pPr>
              <w:jc w:val="left"/>
              <w:rPr>
                <w:rFonts w:ascii="Times New Roman" w:hAnsi="Times New Roman"/>
                <w:szCs w:val="22"/>
              </w:rPr>
            </w:pPr>
            <w:r w:rsidRPr="00463E1A">
              <w:rPr>
                <w:rFonts w:ascii="Times New Roman" w:hAnsi="Times New Roman"/>
                <w:szCs w:val="22"/>
              </w:rPr>
              <w:t xml:space="preserve">Manuál pro reporting ukončených instrumentů (V1.0/ 30/11/18. </w:t>
            </w:r>
            <w:hyperlink r:id="rId11" w:history="1">
              <w:proofErr w:type="spellStart"/>
              <w:r w:rsidRPr="00463E1A">
                <w:rPr>
                  <w:rStyle w:val="Hyperlink"/>
                  <w:rFonts w:ascii="Times New Roman" w:hAnsi="Times New Roman"/>
                  <w:szCs w:val="22"/>
                </w:rPr>
                <w:t>docx</w:t>
              </w:r>
              <w:proofErr w:type="spellEnd"/>
            </w:hyperlink>
            <w:r w:rsidRPr="00463E1A">
              <w:rPr>
                <w:rFonts w:ascii="Times New Roman" w:hAnsi="Times New Roman"/>
                <w:szCs w:val="22"/>
              </w:rPr>
              <w:t xml:space="preserve">, </w:t>
            </w:r>
            <w:hyperlink r:id="rId12" w:history="1">
              <w:proofErr w:type="spellStart"/>
              <w:r w:rsidRPr="00463E1A">
                <w:rPr>
                  <w:rStyle w:val="Hyperlink"/>
                  <w:rFonts w:ascii="Times New Roman" w:hAnsi="Times New Roman"/>
                  <w:szCs w:val="22"/>
                </w:rPr>
                <w:t>pdf</w:t>
              </w:r>
              <w:proofErr w:type="spellEnd"/>
            </w:hyperlink>
            <w:r w:rsidRPr="00463E1A">
              <w:rPr>
                <w:rFonts w:ascii="Times New Roman" w:hAnsi="Times New Roman"/>
                <w:szCs w:val="22"/>
              </w:rPr>
              <w:t>) - včleněno do tohoto dokumentu</w:t>
            </w:r>
          </w:p>
        </w:tc>
      </w:tr>
    </w:tbl>
    <w:p w:rsidR="006B2564" w:rsidRDefault="006B2564" w:rsidP="006B2564">
      <w:pPr>
        <w:rPr>
          <w:szCs w:val="22"/>
        </w:rPr>
      </w:pPr>
    </w:p>
    <w:p w:rsidR="00463E1A" w:rsidRPr="00463E1A" w:rsidRDefault="00463E1A" w:rsidP="006B2564">
      <w:pPr>
        <w:rPr>
          <w:szCs w:val="22"/>
        </w:rPr>
      </w:pPr>
    </w:p>
    <w:p w:rsidR="006B2564" w:rsidRPr="00463E1A" w:rsidRDefault="006B2564" w:rsidP="006B2564">
      <w:pPr>
        <w:rPr>
          <w:szCs w:val="22"/>
        </w:rPr>
      </w:pPr>
      <w:r w:rsidRPr="00463E1A">
        <w:rPr>
          <w:szCs w:val="22"/>
        </w:rPr>
        <w:t>Relevantní dokumenty:</w:t>
      </w:r>
    </w:p>
    <w:tbl>
      <w:tblPr>
        <w:tblStyle w:val="TableGrid"/>
        <w:tblW w:w="9402" w:type="dxa"/>
        <w:tblLook w:val="04A0" w:firstRow="1" w:lastRow="0" w:firstColumn="1" w:lastColumn="0" w:noHBand="0" w:noVBand="1"/>
      </w:tblPr>
      <w:tblGrid>
        <w:gridCol w:w="9402"/>
      </w:tblGrid>
      <w:tr w:rsidR="006B2564" w:rsidRPr="00463E1A" w:rsidTr="006B2564">
        <w:trPr>
          <w:trHeight w:val="238"/>
        </w:trPr>
        <w:tc>
          <w:tcPr>
            <w:tcW w:w="9402" w:type="dxa"/>
          </w:tcPr>
          <w:p w:rsidR="006B2564" w:rsidRPr="00463E1A" w:rsidRDefault="006B2564" w:rsidP="003275BE">
            <w:pPr>
              <w:keepNext/>
              <w:jc w:val="left"/>
              <w:rPr>
                <w:rFonts w:ascii="Times New Roman" w:hAnsi="Times New Roman"/>
                <w:szCs w:val="22"/>
              </w:rPr>
            </w:pPr>
            <w:r w:rsidRPr="00463E1A">
              <w:rPr>
                <w:rFonts w:ascii="Times New Roman" w:hAnsi="Times New Roman"/>
                <w:szCs w:val="22"/>
              </w:rPr>
              <w:t xml:space="preserve">Odkaz </w:t>
            </w:r>
            <w:r w:rsidRPr="00463E1A">
              <w:rPr>
                <w:rFonts w:ascii="Times New Roman" w:hAnsi="Times New Roman"/>
                <w:szCs w:val="22"/>
              </w:rPr>
              <w:fldChar w:fldCharType="begin"/>
            </w:r>
            <w:r w:rsidRPr="00463E1A">
              <w:rPr>
                <w:rFonts w:ascii="Times New Roman" w:hAnsi="Times New Roman"/>
                <w:szCs w:val="22"/>
              </w:rPr>
              <w:instrText xml:space="preserve"> SEQ Odkaz \* ARABIC </w:instrText>
            </w:r>
            <w:r w:rsidRPr="00463E1A">
              <w:rPr>
                <w:rFonts w:ascii="Times New Roman" w:hAnsi="Times New Roman"/>
                <w:szCs w:val="22"/>
              </w:rPr>
              <w:fldChar w:fldCharType="separate"/>
            </w:r>
            <w:r w:rsidR="00463E1A">
              <w:rPr>
                <w:rFonts w:ascii="Times New Roman" w:hAnsi="Times New Roman"/>
                <w:noProof/>
                <w:szCs w:val="22"/>
              </w:rPr>
              <w:t>1</w:t>
            </w:r>
            <w:r w:rsidRPr="00463E1A">
              <w:rPr>
                <w:rFonts w:ascii="Times New Roman" w:hAnsi="Times New Roman"/>
                <w:noProof/>
                <w:szCs w:val="22"/>
              </w:rPr>
              <w:fldChar w:fldCharType="end"/>
            </w:r>
            <w:r w:rsidRPr="00463E1A">
              <w:rPr>
                <w:rFonts w:ascii="Times New Roman" w:hAnsi="Times New Roman"/>
                <w:szCs w:val="22"/>
              </w:rPr>
              <w:t xml:space="preserve">: </w:t>
            </w:r>
            <w:hyperlink r:id="rId13" w:history="1">
              <w:bookmarkStart w:id="1" w:name="_Ref269858"/>
              <w:r w:rsidRPr="00463E1A">
                <w:rPr>
                  <w:rStyle w:val="Hyperlink"/>
                  <w:rFonts w:ascii="Times New Roman" w:hAnsi="Times New Roman"/>
                  <w:bCs/>
                  <w:szCs w:val="22"/>
                </w:rPr>
                <w:t>Nařízení ECB (EU)  2016/867</w:t>
              </w:r>
              <w:bookmarkEnd w:id="1"/>
            </w:hyperlink>
          </w:p>
        </w:tc>
      </w:tr>
      <w:tr w:rsidR="006B2564" w:rsidRPr="00463E1A" w:rsidTr="006B2564">
        <w:trPr>
          <w:trHeight w:val="349"/>
        </w:trPr>
        <w:tc>
          <w:tcPr>
            <w:tcW w:w="9402" w:type="dxa"/>
          </w:tcPr>
          <w:p w:rsidR="006B2564" w:rsidRPr="00463E1A" w:rsidRDefault="006B2564" w:rsidP="003275BE">
            <w:pPr>
              <w:pStyle w:val="Caption"/>
              <w:jc w:val="left"/>
              <w:rPr>
                <w:rFonts w:ascii="Times New Roman" w:hAnsi="Times New Roman"/>
                <w:b w:val="0"/>
                <w:szCs w:val="22"/>
              </w:rPr>
            </w:pPr>
            <w:r w:rsidRPr="00463E1A">
              <w:rPr>
                <w:rFonts w:ascii="Times New Roman" w:hAnsi="Times New Roman"/>
                <w:b w:val="0"/>
                <w:szCs w:val="22"/>
              </w:rPr>
              <w:t xml:space="preserve">Odkaz </w:t>
            </w:r>
            <w:r w:rsidRPr="00463E1A">
              <w:rPr>
                <w:rFonts w:ascii="Times New Roman" w:hAnsi="Times New Roman"/>
                <w:b w:val="0"/>
                <w:szCs w:val="22"/>
              </w:rPr>
              <w:fldChar w:fldCharType="begin"/>
            </w:r>
            <w:r w:rsidRPr="00463E1A">
              <w:rPr>
                <w:rFonts w:ascii="Times New Roman" w:hAnsi="Times New Roman"/>
                <w:b w:val="0"/>
                <w:szCs w:val="22"/>
              </w:rPr>
              <w:instrText xml:space="preserve"> SEQ Odkaz \* ARABIC </w:instrText>
            </w:r>
            <w:r w:rsidRPr="00463E1A">
              <w:rPr>
                <w:rFonts w:ascii="Times New Roman" w:hAnsi="Times New Roman"/>
                <w:b w:val="0"/>
                <w:szCs w:val="22"/>
              </w:rPr>
              <w:fldChar w:fldCharType="separate"/>
            </w:r>
            <w:r w:rsidR="00463E1A">
              <w:rPr>
                <w:rFonts w:ascii="Times New Roman" w:hAnsi="Times New Roman"/>
                <w:b w:val="0"/>
                <w:noProof/>
                <w:szCs w:val="22"/>
              </w:rPr>
              <w:t>2</w:t>
            </w:r>
            <w:r w:rsidRPr="00463E1A">
              <w:rPr>
                <w:rFonts w:ascii="Times New Roman" w:hAnsi="Times New Roman"/>
                <w:b w:val="0"/>
                <w:szCs w:val="22"/>
              </w:rPr>
              <w:fldChar w:fldCharType="end"/>
            </w:r>
            <w:r w:rsidRPr="00463E1A">
              <w:rPr>
                <w:rFonts w:ascii="Times New Roman" w:hAnsi="Times New Roman"/>
                <w:b w:val="0"/>
                <w:szCs w:val="22"/>
              </w:rPr>
              <w:t xml:space="preserve">: </w:t>
            </w:r>
            <w:hyperlink r:id="rId14" w:history="1">
              <w:bookmarkStart w:id="2" w:name="_Ref269941"/>
              <w:proofErr w:type="spellStart"/>
              <w:r w:rsidRPr="00463E1A">
                <w:rPr>
                  <w:rStyle w:val="Hyperlink"/>
                  <w:rFonts w:ascii="Times New Roman" w:hAnsi="Times New Roman"/>
                  <w:b w:val="0"/>
                  <w:szCs w:val="22"/>
                </w:rPr>
                <w:t>Anacredit</w:t>
              </w:r>
              <w:proofErr w:type="spellEnd"/>
              <w:r w:rsidRPr="00463E1A">
                <w:rPr>
                  <w:rStyle w:val="Hyperlink"/>
                  <w:rFonts w:ascii="Times New Roman" w:hAnsi="Times New Roman"/>
                  <w:b w:val="0"/>
                  <w:szCs w:val="22"/>
                </w:rPr>
                <w:t xml:space="preserve"> Manul, Part II</w:t>
              </w:r>
              <w:bookmarkEnd w:id="2"/>
            </w:hyperlink>
          </w:p>
        </w:tc>
      </w:tr>
      <w:tr w:rsidR="006B2564" w:rsidRPr="00463E1A" w:rsidTr="006B2564">
        <w:trPr>
          <w:trHeight w:val="436"/>
        </w:trPr>
        <w:tc>
          <w:tcPr>
            <w:tcW w:w="9402" w:type="dxa"/>
          </w:tcPr>
          <w:p w:rsidR="006B2564" w:rsidRPr="00463E1A" w:rsidRDefault="006B2564" w:rsidP="003275BE">
            <w:pPr>
              <w:pStyle w:val="Caption"/>
              <w:jc w:val="left"/>
              <w:rPr>
                <w:rFonts w:ascii="Times New Roman" w:hAnsi="Times New Roman"/>
                <w:b w:val="0"/>
                <w:szCs w:val="22"/>
              </w:rPr>
            </w:pPr>
            <w:r w:rsidRPr="00463E1A">
              <w:rPr>
                <w:rFonts w:ascii="Times New Roman" w:hAnsi="Times New Roman"/>
                <w:b w:val="0"/>
                <w:szCs w:val="22"/>
              </w:rPr>
              <w:t xml:space="preserve">Odkaz </w:t>
            </w:r>
            <w:r w:rsidRPr="00463E1A">
              <w:rPr>
                <w:rFonts w:ascii="Times New Roman" w:hAnsi="Times New Roman"/>
                <w:b w:val="0"/>
                <w:szCs w:val="22"/>
              </w:rPr>
              <w:fldChar w:fldCharType="begin"/>
            </w:r>
            <w:r w:rsidRPr="00463E1A">
              <w:rPr>
                <w:rFonts w:ascii="Times New Roman" w:hAnsi="Times New Roman"/>
                <w:b w:val="0"/>
                <w:szCs w:val="22"/>
              </w:rPr>
              <w:instrText xml:space="preserve"> SEQ Odkaz \* ARABIC </w:instrText>
            </w:r>
            <w:r w:rsidRPr="00463E1A">
              <w:rPr>
                <w:rFonts w:ascii="Times New Roman" w:hAnsi="Times New Roman"/>
                <w:b w:val="0"/>
                <w:szCs w:val="22"/>
              </w:rPr>
              <w:fldChar w:fldCharType="separate"/>
            </w:r>
            <w:r w:rsidR="00463E1A">
              <w:rPr>
                <w:rFonts w:ascii="Times New Roman" w:hAnsi="Times New Roman"/>
                <w:b w:val="0"/>
                <w:noProof/>
                <w:szCs w:val="22"/>
              </w:rPr>
              <w:t>3</w:t>
            </w:r>
            <w:r w:rsidRPr="00463E1A">
              <w:rPr>
                <w:rFonts w:ascii="Times New Roman" w:hAnsi="Times New Roman"/>
                <w:b w:val="0"/>
                <w:szCs w:val="22"/>
              </w:rPr>
              <w:fldChar w:fldCharType="end"/>
            </w:r>
            <w:r w:rsidRPr="00463E1A">
              <w:rPr>
                <w:rFonts w:ascii="Times New Roman" w:hAnsi="Times New Roman"/>
                <w:b w:val="0"/>
                <w:szCs w:val="22"/>
              </w:rPr>
              <w:t xml:space="preserve">: </w:t>
            </w:r>
            <w:hyperlink r:id="rId15" w:history="1">
              <w:bookmarkStart w:id="3" w:name="_Ref270058"/>
              <w:proofErr w:type="spellStart"/>
              <w:r w:rsidRPr="00463E1A">
                <w:rPr>
                  <w:rStyle w:val="Hyperlink"/>
                  <w:rFonts w:ascii="Times New Roman" w:hAnsi="Times New Roman"/>
                  <w:b w:val="0"/>
                  <w:szCs w:val="22"/>
                </w:rPr>
                <w:t>Anacredit</w:t>
              </w:r>
              <w:proofErr w:type="spellEnd"/>
              <w:r w:rsidRPr="00463E1A">
                <w:rPr>
                  <w:rStyle w:val="Hyperlink"/>
                  <w:rFonts w:ascii="Times New Roman" w:hAnsi="Times New Roman"/>
                  <w:b w:val="0"/>
                  <w:szCs w:val="22"/>
                </w:rPr>
                <w:t xml:space="preserve"> </w:t>
              </w:r>
              <w:proofErr w:type="spellStart"/>
              <w:r w:rsidRPr="00463E1A">
                <w:rPr>
                  <w:rStyle w:val="Hyperlink"/>
                  <w:rFonts w:ascii="Times New Roman" w:hAnsi="Times New Roman"/>
                  <w:b w:val="0"/>
                  <w:szCs w:val="22"/>
                </w:rPr>
                <w:t>Validation</w:t>
              </w:r>
              <w:proofErr w:type="spellEnd"/>
              <w:r w:rsidRPr="00463E1A">
                <w:rPr>
                  <w:rStyle w:val="Hyperlink"/>
                  <w:rFonts w:ascii="Times New Roman" w:hAnsi="Times New Roman"/>
                  <w:b w:val="0"/>
                  <w:szCs w:val="22"/>
                </w:rPr>
                <w:t xml:space="preserve"> </w:t>
              </w:r>
              <w:proofErr w:type="spellStart"/>
              <w:r w:rsidRPr="00463E1A">
                <w:rPr>
                  <w:rStyle w:val="Hyperlink"/>
                  <w:rFonts w:ascii="Times New Roman" w:hAnsi="Times New Roman"/>
                  <w:b w:val="0"/>
                  <w:szCs w:val="22"/>
                </w:rPr>
                <w:t>Checks</w:t>
              </w:r>
              <w:bookmarkEnd w:id="3"/>
              <w:proofErr w:type="spellEnd"/>
            </w:hyperlink>
          </w:p>
        </w:tc>
      </w:tr>
      <w:tr w:rsidR="006B2564" w:rsidRPr="00463E1A" w:rsidTr="006B2564">
        <w:trPr>
          <w:trHeight w:val="378"/>
        </w:trPr>
        <w:tc>
          <w:tcPr>
            <w:tcW w:w="9402" w:type="dxa"/>
          </w:tcPr>
          <w:p w:rsidR="006B2564" w:rsidRPr="00463E1A" w:rsidRDefault="006B2564" w:rsidP="004B484F">
            <w:pPr>
              <w:keepNext/>
              <w:jc w:val="left"/>
              <w:rPr>
                <w:rFonts w:ascii="Times New Roman" w:hAnsi="Times New Roman"/>
                <w:szCs w:val="22"/>
              </w:rPr>
            </w:pPr>
            <w:r w:rsidRPr="00463E1A">
              <w:rPr>
                <w:rFonts w:ascii="Times New Roman" w:hAnsi="Times New Roman"/>
                <w:szCs w:val="22"/>
              </w:rPr>
              <w:t xml:space="preserve">Odkaz </w:t>
            </w:r>
            <w:r w:rsidRPr="00463E1A">
              <w:rPr>
                <w:rFonts w:ascii="Times New Roman" w:hAnsi="Times New Roman"/>
                <w:szCs w:val="22"/>
              </w:rPr>
              <w:fldChar w:fldCharType="begin"/>
            </w:r>
            <w:r w:rsidRPr="00463E1A">
              <w:rPr>
                <w:rFonts w:ascii="Times New Roman" w:hAnsi="Times New Roman"/>
                <w:szCs w:val="22"/>
              </w:rPr>
              <w:instrText xml:space="preserve"> SEQ Odkaz \* ARABIC </w:instrText>
            </w:r>
            <w:r w:rsidRPr="00463E1A">
              <w:rPr>
                <w:rFonts w:ascii="Times New Roman" w:hAnsi="Times New Roman"/>
                <w:szCs w:val="22"/>
              </w:rPr>
              <w:fldChar w:fldCharType="separate"/>
            </w:r>
            <w:r w:rsidR="00463E1A">
              <w:rPr>
                <w:rFonts w:ascii="Times New Roman" w:hAnsi="Times New Roman"/>
                <w:noProof/>
                <w:szCs w:val="22"/>
              </w:rPr>
              <w:t>4</w:t>
            </w:r>
            <w:r w:rsidRPr="00463E1A">
              <w:rPr>
                <w:rFonts w:ascii="Times New Roman" w:hAnsi="Times New Roman"/>
                <w:noProof/>
                <w:szCs w:val="22"/>
              </w:rPr>
              <w:fldChar w:fldCharType="end"/>
            </w:r>
            <w:r w:rsidRPr="00463E1A">
              <w:rPr>
                <w:rFonts w:ascii="Times New Roman" w:hAnsi="Times New Roman"/>
                <w:szCs w:val="22"/>
              </w:rPr>
              <w:t xml:space="preserve">: </w:t>
            </w:r>
            <w:hyperlink r:id="rId16" w:history="1">
              <w:bookmarkStart w:id="4" w:name="_Ref270180"/>
              <w:r w:rsidRPr="00463E1A">
                <w:rPr>
                  <w:rStyle w:val="Hyperlink"/>
                  <w:rFonts w:ascii="Times New Roman" w:hAnsi="Times New Roman"/>
                  <w:szCs w:val="22"/>
                </w:rPr>
                <w:t>Kontroly ČNB</w:t>
              </w:r>
              <w:bookmarkEnd w:id="4"/>
            </w:hyperlink>
          </w:p>
        </w:tc>
      </w:tr>
      <w:tr w:rsidR="006B2564" w:rsidRPr="00463E1A" w:rsidTr="006B2564">
        <w:trPr>
          <w:trHeight w:val="378"/>
        </w:trPr>
        <w:tc>
          <w:tcPr>
            <w:tcW w:w="9402" w:type="dxa"/>
          </w:tcPr>
          <w:p w:rsidR="006B2564" w:rsidRPr="00463E1A" w:rsidRDefault="006B2564" w:rsidP="004B484F">
            <w:pPr>
              <w:pStyle w:val="Caption"/>
              <w:jc w:val="left"/>
              <w:rPr>
                <w:rFonts w:ascii="Times New Roman" w:hAnsi="Times New Roman"/>
                <w:b w:val="0"/>
                <w:szCs w:val="22"/>
              </w:rPr>
            </w:pPr>
            <w:r w:rsidRPr="00463E1A">
              <w:rPr>
                <w:rFonts w:ascii="Times New Roman" w:hAnsi="Times New Roman"/>
                <w:b w:val="0"/>
                <w:szCs w:val="22"/>
              </w:rPr>
              <w:t xml:space="preserve">Odkaz </w:t>
            </w:r>
            <w:r w:rsidRPr="00463E1A">
              <w:rPr>
                <w:rFonts w:ascii="Times New Roman" w:hAnsi="Times New Roman"/>
                <w:b w:val="0"/>
                <w:szCs w:val="22"/>
              </w:rPr>
              <w:fldChar w:fldCharType="begin"/>
            </w:r>
            <w:r w:rsidRPr="00463E1A">
              <w:rPr>
                <w:rFonts w:ascii="Times New Roman" w:hAnsi="Times New Roman"/>
                <w:b w:val="0"/>
                <w:szCs w:val="22"/>
              </w:rPr>
              <w:instrText xml:space="preserve"> SEQ Odkaz \* ARABIC </w:instrText>
            </w:r>
            <w:r w:rsidRPr="00463E1A">
              <w:rPr>
                <w:rFonts w:ascii="Times New Roman" w:hAnsi="Times New Roman"/>
                <w:b w:val="0"/>
                <w:szCs w:val="22"/>
              </w:rPr>
              <w:fldChar w:fldCharType="separate"/>
            </w:r>
            <w:r w:rsidR="00463E1A">
              <w:rPr>
                <w:rFonts w:ascii="Times New Roman" w:hAnsi="Times New Roman"/>
                <w:b w:val="0"/>
                <w:noProof/>
                <w:szCs w:val="22"/>
              </w:rPr>
              <w:t>5</w:t>
            </w:r>
            <w:r w:rsidRPr="00463E1A">
              <w:rPr>
                <w:rFonts w:ascii="Times New Roman" w:hAnsi="Times New Roman"/>
                <w:b w:val="0"/>
                <w:szCs w:val="22"/>
              </w:rPr>
              <w:fldChar w:fldCharType="end"/>
            </w:r>
            <w:r w:rsidRPr="00463E1A">
              <w:rPr>
                <w:rFonts w:ascii="Times New Roman" w:hAnsi="Times New Roman"/>
                <w:b w:val="0"/>
                <w:szCs w:val="22"/>
              </w:rPr>
              <w:t xml:space="preserve">: </w:t>
            </w:r>
            <w:hyperlink r:id="rId17" w:history="1">
              <w:bookmarkStart w:id="5" w:name="_Ref270337"/>
              <w:r w:rsidRPr="00463E1A">
                <w:rPr>
                  <w:rStyle w:val="Hyperlink"/>
                  <w:rFonts w:ascii="Times New Roman" w:hAnsi="Times New Roman"/>
                  <w:b w:val="0"/>
                  <w:szCs w:val="22"/>
                </w:rPr>
                <w:t>Nároky na sadu referenčních dat v RIAD</w:t>
              </w:r>
              <w:bookmarkEnd w:id="5"/>
            </w:hyperlink>
          </w:p>
        </w:tc>
      </w:tr>
    </w:tbl>
    <w:p w:rsidR="00FD1152" w:rsidRPr="00463E1A" w:rsidRDefault="00FD1152">
      <w:pPr>
        <w:rPr>
          <w:szCs w:val="22"/>
        </w:rPr>
      </w:pPr>
    </w:p>
    <w:p w:rsidR="00F05BA4" w:rsidRPr="00463E1A" w:rsidRDefault="00F05BA4" w:rsidP="00447B0E">
      <w:pPr>
        <w:spacing w:line="240" w:lineRule="auto"/>
        <w:rPr>
          <w:b/>
          <w:caps/>
          <w:color w:val="365F91" w:themeColor="accent1" w:themeShade="BF"/>
          <w:szCs w:val="22"/>
          <w:u w:val="single"/>
        </w:rPr>
      </w:pPr>
    </w:p>
    <w:p w:rsidR="00463E1A" w:rsidRPr="00463E1A" w:rsidRDefault="00FD1152" w:rsidP="00463E1A">
      <w:pPr>
        <w:pStyle w:val="Heading1"/>
        <w:numPr>
          <w:ilvl w:val="0"/>
          <w:numId w:val="0"/>
        </w:numPr>
        <w:ind w:left="360"/>
        <w:rPr>
          <w:rFonts w:ascii="Times New Roman" w:hAnsi="Times New Roman"/>
        </w:rPr>
      </w:pPr>
      <w:r w:rsidRPr="00463E1A">
        <w:rPr>
          <w:rFonts w:ascii="Times New Roman" w:hAnsi="Times New Roman"/>
          <w:b w:val="0"/>
        </w:rPr>
        <w:br w:type="column"/>
      </w:r>
      <w:bookmarkStart w:id="6" w:name="_Ref179988"/>
      <w:bookmarkStart w:id="7" w:name="_Toc270678"/>
    </w:p>
    <w:sdt>
      <w:sdtPr>
        <w:id w:val="1347518900"/>
        <w:docPartObj>
          <w:docPartGallery w:val="Table of Contents"/>
          <w:docPartUnique/>
        </w:docPartObj>
      </w:sdtPr>
      <w:sdtEndPr>
        <w:rPr>
          <w:rFonts w:ascii="Times New Roman" w:hAnsi="Times New Roman"/>
          <w:bCs/>
          <w:color w:val="auto"/>
          <w:sz w:val="22"/>
          <w:szCs w:val="18"/>
          <w:lang w:eastAsia="en-US"/>
        </w:rPr>
      </w:sdtEndPr>
      <w:sdtContent>
        <w:p w:rsidR="00463E1A" w:rsidRDefault="00463E1A">
          <w:pPr>
            <w:pStyle w:val="TOCHeading"/>
          </w:pPr>
          <w:r>
            <w:t>Obsah</w:t>
          </w:r>
        </w:p>
        <w:p w:rsidR="00463E1A" w:rsidRDefault="00463E1A">
          <w:pPr>
            <w:pStyle w:val="TOC1"/>
            <w:tabs>
              <w:tab w:val="left" w:pos="385"/>
              <w:tab w:val="right" w:leader="dot" w:pos="9062"/>
            </w:tabs>
            <w:rPr>
              <w:rFonts w:eastAsiaTheme="minorEastAsia" w:cstheme="minorBidi"/>
              <w:b w:val="0"/>
              <w:bCs w:val="0"/>
              <w:caps w:val="0"/>
              <w:noProof/>
              <w:u w:val="none"/>
              <w:lang w:eastAsia="cs-CZ"/>
            </w:rPr>
          </w:pPr>
          <w:r>
            <w:fldChar w:fldCharType="begin"/>
          </w:r>
          <w:r>
            <w:instrText xml:space="preserve"> TOC \o "1-3" \h \z \u </w:instrText>
          </w:r>
          <w:r>
            <w:fldChar w:fldCharType="separate"/>
          </w:r>
          <w:hyperlink w:anchor="_Toc769526" w:history="1">
            <w:r w:rsidRPr="00874BBF">
              <w:rPr>
                <w:rStyle w:val="Hyperlink"/>
                <w:rFonts w:ascii="Times New Roman" w:hAnsi="Times New Roman"/>
                <w:noProof/>
              </w:rPr>
              <w:t>1.</w:t>
            </w:r>
            <w:r>
              <w:rPr>
                <w:rFonts w:eastAsiaTheme="minorEastAsia" w:cstheme="minorBidi"/>
                <w:b w:val="0"/>
                <w:bCs w:val="0"/>
                <w:caps w:val="0"/>
                <w:noProof/>
                <w:u w:val="none"/>
                <w:lang w:eastAsia="cs-CZ"/>
              </w:rPr>
              <w:tab/>
            </w:r>
            <w:r w:rsidRPr="00874BBF">
              <w:rPr>
                <w:rStyle w:val="Hyperlink"/>
                <w:rFonts w:ascii="Times New Roman" w:hAnsi="Times New Roman"/>
                <w:noProof/>
              </w:rPr>
              <w:t>Specifické požadavky na vykazování úvěrových dat</w:t>
            </w:r>
            <w:r>
              <w:rPr>
                <w:noProof/>
                <w:webHidden/>
              </w:rPr>
              <w:tab/>
            </w:r>
            <w:r>
              <w:rPr>
                <w:noProof/>
                <w:webHidden/>
              </w:rPr>
              <w:fldChar w:fldCharType="begin"/>
            </w:r>
            <w:r>
              <w:rPr>
                <w:noProof/>
                <w:webHidden/>
              </w:rPr>
              <w:instrText xml:space="preserve"> PAGEREF _Toc769526 \h </w:instrText>
            </w:r>
            <w:r>
              <w:rPr>
                <w:noProof/>
                <w:webHidden/>
              </w:rPr>
            </w:r>
            <w:r>
              <w:rPr>
                <w:noProof/>
                <w:webHidden/>
              </w:rPr>
              <w:fldChar w:fldCharType="separate"/>
            </w:r>
            <w:r>
              <w:rPr>
                <w:noProof/>
                <w:webHidden/>
              </w:rPr>
              <w:t>4</w:t>
            </w:r>
            <w:r>
              <w:rPr>
                <w:noProof/>
                <w:webHidden/>
              </w:rPr>
              <w:fldChar w:fldCharType="end"/>
            </w:r>
          </w:hyperlink>
        </w:p>
        <w:p w:rsidR="00463E1A" w:rsidRDefault="00463E1A">
          <w:pPr>
            <w:pStyle w:val="TOC1"/>
            <w:tabs>
              <w:tab w:val="left" w:pos="385"/>
              <w:tab w:val="right" w:leader="dot" w:pos="9062"/>
            </w:tabs>
            <w:rPr>
              <w:rFonts w:eastAsiaTheme="minorEastAsia" w:cstheme="minorBidi"/>
              <w:b w:val="0"/>
              <w:bCs w:val="0"/>
              <w:caps w:val="0"/>
              <w:noProof/>
              <w:u w:val="none"/>
              <w:lang w:eastAsia="cs-CZ"/>
            </w:rPr>
          </w:pPr>
          <w:hyperlink w:anchor="_Toc769527" w:history="1">
            <w:r w:rsidRPr="00874BBF">
              <w:rPr>
                <w:rStyle w:val="Hyperlink"/>
                <w:rFonts w:ascii="Times New Roman" w:hAnsi="Times New Roman"/>
                <w:noProof/>
              </w:rPr>
              <w:t>2.</w:t>
            </w:r>
            <w:r>
              <w:rPr>
                <w:rFonts w:eastAsiaTheme="minorEastAsia" w:cstheme="minorBidi"/>
                <w:b w:val="0"/>
                <w:bCs w:val="0"/>
                <w:caps w:val="0"/>
                <w:noProof/>
                <w:u w:val="none"/>
                <w:lang w:eastAsia="cs-CZ"/>
              </w:rPr>
              <w:tab/>
            </w:r>
            <w:r w:rsidRPr="00874BBF">
              <w:rPr>
                <w:rStyle w:val="Hyperlink"/>
                <w:rFonts w:ascii="Times New Roman" w:hAnsi="Times New Roman"/>
                <w:noProof/>
              </w:rPr>
              <w:t>Nepovolené debety</w:t>
            </w:r>
            <w:r>
              <w:rPr>
                <w:noProof/>
                <w:webHidden/>
              </w:rPr>
              <w:tab/>
            </w:r>
            <w:r>
              <w:rPr>
                <w:noProof/>
                <w:webHidden/>
              </w:rPr>
              <w:fldChar w:fldCharType="begin"/>
            </w:r>
            <w:r>
              <w:rPr>
                <w:noProof/>
                <w:webHidden/>
              </w:rPr>
              <w:instrText xml:space="preserve"> PAGEREF _Toc769527 \h </w:instrText>
            </w:r>
            <w:r>
              <w:rPr>
                <w:noProof/>
                <w:webHidden/>
              </w:rPr>
            </w:r>
            <w:r>
              <w:rPr>
                <w:noProof/>
                <w:webHidden/>
              </w:rPr>
              <w:fldChar w:fldCharType="separate"/>
            </w:r>
            <w:r>
              <w:rPr>
                <w:noProof/>
                <w:webHidden/>
              </w:rPr>
              <w:t>7</w:t>
            </w:r>
            <w:r>
              <w:rPr>
                <w:noProof/>
                <w:webHidden/>
              </w:rPr>
              <w:fldChar w:fldCharType="end"/>
            </w:r>
          </w:hyperlink>
        </w:p>
        <w:p w:rsidR="00463E1A" w:rsidRDefault="00463E1A">
          <w:pPr>
            <w:pStyle w:val="TOC1"/>
            <w:tabs>
              <w:tab w:val="left" w:pos="385"/>
              <w:tab w:val="right" w:leader="dot" w:pos="9062"/>
            </w:tabs>
            <w:rPr>
              <w:rFonts w:eastAsiaTheme="minorEastAsia" w:cstheme="minorBidi"/>
              <w:b w:val="0"/>
              <w:bCs w:val="0"/>
              <w:caps w:val="0"/>
              <w:noProof/>
              <w:u w:val="none"/>
              <w:lang w:eastAsia="cs-CZ"/>
            </w:rPr>
          </w:pPr>
          <w:hyperlink w:anchor="_Toc769528" w:history="1">
            <w:r w:rsidRPr="00874BBF">
              <w:rPr>
                <w:rStyle w:val="Hyperlink"/>
                <w:rFonts w:ascii="Times New Roman" w:hAnsi="Times New Roman"/>
                <w:noProof/>
              </w:rPr>
              <w:t>3.</w:t>
            </w:r>
            <w:r>
              <w:rPr>
                <w:rFonts w:eastAsiaTheme="minorEastAsia" w:cstheme="minorBidi"/>
                <w:b w:val="0"/>
                <w:bCs w:val="0"/>
                <w:caps w:val="0"/>
                <w:noProof/>
                <w:u w:val="none"/>
                <w:lang w:eastAsia="cs-CZ"/>
              </w:rPr>
              <w:tab/>
            </w:r>
            <w:r w:rsidRPr="00874BBF">
              <w:rPr>
                <w:rStyle w:val="Hyperlink"/>
                <w:rFonts w:ascii="Times New Roman" w:hAnsi="Times New Roman"/>
                <w:noProof/>
              </w:rPr>
              <w:t>Odepsané pohledávky</w:t>
            </w:r>
            <w:r>
              <w:rPr>
                <w:noProof/>
                <w:webHidden/>
              </w:rPr>
              <w:tab/>
            </w:r>
            <w:r>
              <w:rPr>
                <w:noProof/>
                <w:webHidden/>
              </w:rPr>
              <w:fldChar w:fldCharType="begin"/>
            </w:r>
            <w:r>
              <w:rPr>
                <w:noProof/>
                <w:webHidden/>
              </w:rPr>
              <w:instrText xml:space="preserve"> PAGEREF _Toc769528 \h </w:instrText>
            </w:r>
            <w:r>
              <w:rPr>
                <w:noProof/>
                <w:webHidden/>
              </w:rPr>
            </w:r>
            <w:r>
              <w:rPr>
                <w:noProof/>
                <w:webHidden/>
              </w:rPr>
              <w:fldChar w:fldCharType="separate"/>
            </w:r>
            <w:r>
              <w:rPr>
                <w:noProof/>
                <w:webHidden/>
              </w:rPr>
              <w:t>8</w:t>
            </w:r>
            <w:r>
              <w:rPr>
                <w:noProof/>
                <w:webHidden/>
              </w:rPr>
              <w:fldChar w:fldCharType="end"/>
            </w:r>
          </w:hyperlink>
        </w:p>
        <w:p w:rsidR="00463E1A" w:rsidRDefault="00463E1A">
          <w:pPr>
            <w:pStyle w:val="TOC2"/>
            <w:tabs>
              <w:tab w:val="left" w:pos="550"/>
              <w:tab w:val="right" w:leader="dot" w:pos="9062"/>
            </w:tabs>
            <w:rPr>
              <w:rFonts w:eastAsiaTheme="minorEastAsia" w:cstheme="minorBidi"/>
              <w:b w:val="0"/>
              <w:bCs w:val="0"/>
              <w:smallCaps w:val="0"/>
              <w:noProof/>
              <w:lang w:eastAsia="cs-CZ"/>
            </w:rPr>
          </w:pPr>
          <w:hyperlink w:anchor="_Toc769529" w:history="1">
            <w:r w:rsidRPr="00874BBF">
              <w:rPr>
                <w:rStyle w:val="Hyperlink"/>
                <w:rFonts w:ascii="Times New Roman" w:hAnsi="Times New Roman"/>
                <w:noProof/>
              </w:rPr>
              <w:t>3.1.</w:t>
            </w:r>
            <w:r>
              <w:rPr>
                <w:rFonts w:eastAsiaTheme="minorEastAsia" w:cstheme="minorBidi"/>
                <w:b w:val="0"/>
                <w:bCs w:val="0"/>
                <w:smallCaps w:val="0"/>
                <w:noProof/>
                <w:lang w:eastAsia="cs-CZ"/>
              </w:rPr>
              <w:tab/>
            </w:r>
            <w:r w:rsidRPr="00874BBF">
              <w:rPr>
                <w:rStyle w:val="Hyperlink"/>
                <w:rFonts w:ascii="Times New Roman" w:hAnsi="Times New Roman"/>
                <w:noProof/>
              </w:rPr>
              <w:t>Rozsah vykazování</w:t>
            </w:r>
            <w:r>
              <w:rPr>
                <w:noProof/>
                <w:webHidden/>
              </w:rPr>
              <w:tab/>
            </w:r>
            <w:r>
              <w:rPr>
                <w:noProof/>
                <w:webHidden/>
              </w:rPr>
              <w:fldChar w:fldCharType="begin"/>
            </w:r>
            <w:r>
              <w:rPr>
                <w:noProof/>
                <w:webHidden/>
              </w:rPr>
              <w:instrText xml:space="preserve"> PAGEREF _Toc769529 \h </w:instrText>
            </w:r>
            <w:r>
              <w:rPr>
                <w:noProof/>
                <w:webHidden/>
              </w:rPr>
            </w:r>
            <w:r>
              <w:rPr>
                <w:noProof/>
                <w:webHidden/>
              </w:rPr>
              <w:fldChar w:fldCharType="separate"/>
            </w:r>
            <w:r>
              <w:rPr>
                <w:noProof/>
                <w:webHidden/>
              </w:rPr>
              <w:t>8</w:t>
            </w:r>
            <w:r>
              <w:rPr>
                <w:noProof/>
                <w:webHidden/>
              </w:rPr>
              <w:fldChar w:fldCharType="end"/>
            </w:r>
          </w:hyperlink>
        </w:p>
        <w:p w:rsidR="00463E1A" w:rsidRDefault="00463E1A">
          <w:pPr>
            <w:pStyle w:val="TOC3"/>
            <w:tabs>
              <w:tab w:val="left" w:pos="715"/>
              <w:tab w:val="right" w:leader="dot" w:pos="9062"/>
            </w:tabs>
            <w:rPr>
              <w:rFonts w:eastAsiaTheme="minorEastAsia" w:cstheme="minorBidi"/>
              <w:smallCaps w:val="0"/>
              <w:noProof/>
              <w:lang w:eastAsia="cs-CZ"/>
            </w:rPr>
          </w:pPr>
          <w:hyperlink w:anchor="_Toc769530" w:history="1">
            <w:r w:rsidRPr="00874BBF">
              <w:rPr>
                <w:rStyle w:val="Hyperlink"/>
                <w:rFonts w:ascii="Times New Roman" w:hAnsi="Times New Roman"/>
                <w:noProof/>
              </w:rPr>
              <w:t>3.1.1.</w:t>
            </w:r>
            <w:r>
              <w:rPr>
                <w:rFonts w:eastAsiaTheme="minorEastAsia" w:cstheme="minorBidi"/>
                <w:smallCaps w:val="0"/>
                <w:noProof/>
                <w:lang w:eastAsia="cs-CZ"/>
              </w:rPr>
              <w:tab/>
            </w:r>
            <w:r w:rsidRPr="00874BBF">
              <w:rPr>
                <w:rStyle w:val="Hyperlink"/>
                <w:rFonts w:ascii="Times New Roman" w:hAnsi="Times New Roman"/>
                <w:noProof/>
              </w:rPr>
              <w:t>Vliv odpisu na vykazování</w:t>
            </w:r>
            <w:r>
              <w:rPr>
                <w:noProof/>
                <w:webHidden/>
              </w:rPr>
              <w:tab/>
            </w:r>
            <w:r>
              <w:rPr>
                <w:noProof/>
                <w:webHidden/>
              </w:rPr>
              <w:fldChar w:fldCharType="begin"/>
            </w:r>
            <w:r>
              <w:rPr>
                <w:noProof/>
                <w:webHidden/>
              </w:rPr>
              <w:instrText xml:space="preserve"> PAGEREF _Toc769530 \h </w:instrText>
            </w:r>
            <w:r>
              <w:rPr>
                <w:noProof/>
                <w:webHidden/>
              </w:rPr>
            </w:r>
            <w:r>
              <w:rPr>
                <w:noProof/>
                <w:webHidden/>
              </w:rPr>
              <w:fldChar w:fldCharType="separate"/>
            </w:r>
            <w:r>
              <w:rPr>
                <w:noProof/>
                <w:webHidden/>
              </w:rPr>
              <w:t>8</w:t>
            </w:r>
            <w:r>
              <w:rPr>
                <w:noProof/>
                <w:webHidden/>
              </w:rPr>
              <w:fldChar w:fldCharType="end"/>
            </w:r>
          </w:hyperlink>
        </w:p>
        <w:p w:rsidR="00463E1A" w:rsidRDefault="00463E1A">
          <w:pPr>
            <w:pStyle w:val="TOC3"/>
            <w:tabs>
              <w:tab w:val="left" w:pos="715"/>
              <w:tab w:val="right" w:leader="dot" w:pos="9062"/>
            </w:tabs>
            <w:rPr>
              <w:rFonts w:eastAsiaTheme="minorEastAsia" w:cstheme="minorBidi"/>
              <w:smallCaps w:val="0"/>
              <w:noProof/>
              <w:lang w:eastAsia="cs-CZ"/>
            </w:rPr>
          </w:pPr>
          <w:hyperlink w:anchor="_Toc769531" w:history="1">
            <w:r w:rsidRPr="00874BBF">
              <w:rPr>
                <w:rStyle w:val="Hyperlink"/>
                <w:rFonts w:ascii="Times New Roman" w:hAnsi="Times New Roman"/>
                <w:noProof/>
              </w:rPr>
              <w:t>3.1.2.</w:t>
            </w:r>
            <w:r>
              <w:rPr>
                <w:rFonts w:eastAsiaTheme="minorEastAsia" w:cstheme="minorBidi"/>
                <w:smallCaps w:val="0"/>
                <w:noProof/>
                <w:lang w:eastAsia="cs-CZ"/>
              </w:rPr>
              <w:tab/>
            </w:r>
            <w:r w:rsidRPr="00874BBF">
              <w:rPr>
                <w:rStyle w:val="Hyperlink"/>
                <w:rFonts w:ascii="Times New Roman" w:hAnsi="Times New Roman"/>
                <w:noProof/>
              </w:rPr>
              <w:t>Kritéria pro vykazování</w:t>
            </w:r>
            <w:r>
              <w:rPr>
                <w:noProof/>
                <w:webHidden/>
              </w:rPr>
              <w:tab/>
            </w:r>
            <w:r>
              <w:rPr>
                <w:noProof/>
                <w:webHidden/>
              </w:rPr>
              <w:fldChar w:fldCharType="begin"/>
            </w:r>
            <w:r>
              <w:rPr>
                <w:noProof/>
                <w:webHidden/>
              </w:rPr>
              <w:instrText xml:space="preserve"> PAGEREF _Toc769531 \h </w:instrText>
            </w:r>
            <w:r>
              <w:rPr>
                <w:noProof/>
                <w:webHidden/>
              </w:rPr>
            </w:r>
            <w:r>
              <w:rPr>
                <w:noProof/>
                <w:webHidden/>
              </w:rPr>
              <w:fldChar w:fldCharType="separate"/>
            </w:r>
            <w:r>
              <w:rPr>
                <w:noProof/>
                <w:webHidden/>
              </w:rPr>
              <w:t>8</w:t>
            </w:r>
            <w:r>
              <w:rPr>
                <w:noProof/>
                <w:webHidden/>
              </w:rPr>
              <w:fldChar w:fldCharType="end"/>
            </w:r>
          </w:hyperlink>
        </w:p>
        <w:p w:rsidR="00463E1A" w:rsidRDefault="00463E1A">
          <w:pPr>
            <w:pStyle w:val="TOC2"/>
            <w:tabs>
              <w:tab w:val="left" w:pos="550"/>
              <w:tab w:val="right" w:leader="dot" w:pos="9062"/>
            </w:tabs>
            <w:rPr>
              <w:rFonts w:eastAsiaTheme="minorEastAsia" w:cstheme="minorBidi"/>
              <w:b w:val="0"/>
              <w:bCs w:val="0"/>
              <w:smallCaps w:val="0"/>
              <w:noProof/>
              <w:lang w:eastAsia="cs-CZ"/>
            </w:rPr>
          </w:pPr>
          <w:hyperlink w:anchor="_Toc769532" w:history="1">
            <w:r w:rsidRPr="00874BBF">
              <w:rPr>
                <w:rStyle w:val="Hyperlink"/>
                <w:rFonts w:ascii="Times New Roman" w:hAnsi="Times New Roman"/>
                <w:noProof/>
                <w:lang w:val="de-DE"/>
              </w:rPr>
              <w:t>3.2.</w:t>
            </w:r>
            <w:r>
              <w:rPr>
                <w:rFonts w:eastAsiaTheme="minorEastAsia" w:cstheme="minorBidi"/>
                <w:b w:val="0"/>
                <w:bCs w:val="0"/>
                <w:smallCaps w:val="0"/>
                <w:noProof/>
                <w:lang w:eastAsia="cs-CZ"/>
              </w:rPr>
              <w:tab/>
            </w:r>
            <w:r w:rsidRPr="00874BBF">
              <w:rPr>
                <w:rStyle w:val="Hyperlink"/>
                <w:rFonts w:ascii="Times New Roman" w:hAnsi="Times New Roman"/>
                <w:noProof/>
              </w:rPr>
              <w:t>Atributy</w:t>
            </w:r>
            <w:r>
              <w:rPr>
                <w:noProof/>
                <w:webHidden/>
              </w:rPr>
              <w:tab/>
            </w:r>
            <w:r>
              <w:rPr>
                <w:noProof/>
                <w:webHidden/>
              </w:rPr>
              <w:fldChar w:fldCharType="begin"/>
            </w:r>
            <w:r>
              <w:rPr>
                <w:noProof/>
                <w:webHidden/>
              </w:rPr>
              <w:instrText xml:space="preserve"> PAGEREF _Toc769532 \h </w:instrText>
            </w:r>
            <w:r>
              <w:rPr>
                <w:noProof/>
                <w:webHidden/>
              </w:rPr>
            </w:r>
            <w:r>
              <w:rPr>
                <w:noProof/>
                <w:webHidden/>
              </w:rPr>
              <w:fldChar w:fldCharType="separate"/>
            </w:r>
            <w:r>
              <w:rPr>
                <w:noProof/>
                <w:webHidden/>
              </w:rPr>
              <w:t>9</w:t>
            </w:r>
            <w:r>
              <w:rPr>
                <w:noProof/>
                <w:webHidden/>
              </w:rPr>
              <w:fldChar w:fldCharType="end"/>
            </w:r>
          </w:hyperlink>
        </w:p>
        <w:p w:rsidR="00463E1A" w:rsidRDefault="00463E1A">
          <w:pPr>
            <w:pStyle w:val="TOC2"/>
            <w:tabs>
              <w:tab w:val="left" w:pos="550"/>
              <w:tab w:val="right" w:leader="dot" w:pos="9062"/>
            </w:tabs>
            <w:rPr>
              <w:rFonts w:eastAsiaTheme="minorEastAsia" w:cstheme="minorBidi"/>
              <w:b w:val="0"/>
              <w:bCs w:val="0"/>
              <w:smallCaps w:val="0"/>
              <w:noProof/>
              <w:lang w:eastAsia="cs-CZ"/>
            </w:rPr>
          </w:pPr>
          <w:hyperlink w:anchor="_Toc769533" w:history="1">
            <w:r w:rsidRPr="00874BBF">
              <w:rPr>
                <w:rStyle w:val="Hyperlink"/>
                <w:rFonts w:ascii="Times New Roman" w:hAnsi="Times New Roman"/>
                <w:noProof/>
              </w:rPr>
              <w:t>3.3.</w:t>
            </w:r>
            <w:r>
              <w:rPr>
                <w:rFonts w:eastAsiaTheme="minorEastAsia" w:cstheme="minorBidi"/>
                <w:b w:val="0"/>
                <w:bCs w:val="0"/>
                <w:smallCaps w:val="0"/>
                <w:noProof/>
                <w:lang w:eastAsia="cs-CZ"/>
              </w:rPr>
              <w:tab/>
            </w:r>
            <w:r w:rsidRPr="00874BBF">
              <w:rPr>
                <w:rStyle w:val="Hyperlink"/>
                <w:rFonts w:ascii="Times New Roman" w:hAnsi="Times New Roman"/>
                <w:noProof/>
              </w:rPr>
              <w:t>Příklady plnění atributů</w:t>
            </w:r>
            <w:r>
              <w:rPr>
                <w:noProof/>
                <w:webHidden/>
              </w:rPr>
              <w:tab/>
            </w:r>
            <w:r>
              <w:rPr>
                <w:noProof/>
                <w:webHidden/>
              </w:rPr>
              <w:fldChar w:fldCharType="begin"/>
            </w:r>
            <w:r>
              <w:rPr>
                <w:noProof/>
                <w:webHidden/>
              </w:rPr>
              <w:instrText xml:space="preserve"> PAGEREF _Toc769533 \h </w:instrText>
            </w:r>
            <w:r>
              <w:rPr>
                <w:noProof/>
                <w:webHidden/>
              </w:rPr>
            </w:r>
            <w:r>
              <w:rPr>
                <w:noProof/>
                <w:webHidden/>
              </w:rPr>
              <w:fldChar w:fldCharType="separate"/>
            </w:r>
            <w:r>
              <w:rPr>
                <w:noProof/>
                <w:webHidden/>
              </w:rPr>
              <w:t>10</w:t>
            </w:r>
            <w:r>
              <w:rPr>
                <w:noProof/>
                <w:webHidden/>
              </w:rPr>
              <w:fldChar w:fldCharType="end"/>
            </w:r>
          </w:hyperlink>
        </w:p>
        <w:p w:rsidR="00463E1A" w:rsidRDefault="00463E1A">
          <w:pPr>
            <w:pStyle w:val="TOC1"/>
            <w:tabs>
              <w:tab w:val="left" w:pos="385"/>
              <w:tab w:val="right" w:leader="dot" w:pos="9062"/>
            </w:tabs>
            <w:rPr>
              <w:rFonts w:eastAsiaTheme="minorEastAsia" w:cstheme="minorBidi"/>
              <w:b w:val="0"/>
              <w:bCs w:val="0"/>
              <w:caps w:val="0"/>
              <w:noProof/>
              <w:u w:val="none"/>
              <w:lang w:eastAsia="cs-CZ"/>
            </w:rPr>
          </w:pPr>
          <w:hyperlink w:anchor="_Toc769534" w:history="1">
            <w:r w:rsidRPr="00874BBF">
              <w:rPr>
                <w:rStyle w:val="Hyperlink"/>
                <w:rFonts w:ascii="Times New Roman" w:hAnsi="Times New Roman"/>
                <w:noProof/>
              </w:rPr>
              <w:t>4.</w:t>
            </w:r>
            <w:r>
              <w:rPr>
                <w:rFonts w:eastAsiaTheme="minorEastAsia" w:cstheme="minorBidi"/>
                <w:b w:val="0"/>
                <w:bCs w:val="0"/>
                <w:caps w:val="0"/>
                <w:noProof/>
                <w:u w:val="none"/>
                <w:lang w:eastAsia="cs-CZ"/>
              </w:rPr>
              <w:tab/>
            </w:r>
            <w:r w:rsidRPr="00874BBF">
              <w:rPr>
                <w:rStyle w:val="Hyperlink"/>
                <w:rFonts w:ascii="Times New Roman" w:hAnsi="Times New Roman"/>
                <w:noProof/>
              </w:rPr>
              <w:t>vykazování ukončených instrumentů</w:t>
            </w:r>
            <w:r>
              <w:rPr>
                <w:noProof/>
                <w:webHidden/>
              </w:rPr>
              <w:tab/>
            </w:r>
            <w:r>
              <w:rPr>
                <w:noProof/>
                <w:webHidden/>
              </w:rPr>
              <w:fldChar w:fldCharType="begin"/>
            </w:r>
            <w:r>
              <w:rPr>
                <w:noProof/>
                <w:webHidden/>
              </w:rPr>
              <w:instrText xml:space="preserve"> PAGEREF _Toc769534 \h </w:instrText>
            </w:r>
            <w:r>
              <w:rPr>
                <w:noProof/>
                <w:webHidden/>
              </w:rPr>
            </w:r>
            <w:r>
              <w:rPr>
                <w:noProof/>
                <w:webHidden/>
              </w:rPr>
              <w:fldChar w:fldCharType="separate"/>
            </w:r>
            <w:r>
              <w:rPr>
                <w:noProof/>
                <w:webHidden/>
              </w:rPr>
              <w:t>17</w:t>
            </w:r>
            <w:r>
              <w:rPr>
                <w:noProof/>
                <w:webHidden/>
              </w:rPr>
              <w:fldChar w:fldCharType="end"/>
            </w:r>
          </w:hyperlink>
        </w:p>
        <w:p w:rsidR="00463E1A" w:rsidRDefault="00463E1A">
          <w:pPr>
            <w:pStyle w:val="TOC2"/>
            <w:tabs>
              <w:tab w:val="left" w:pos="550"/>
              <w:tab w:val="right" w:leader="dot" w:pos="9062"/>
            </w:tabs>
            <w:rPr>
              <w:rFonts w:eastAsiaTheme="minorEastAsia" w:cstheme="minorBidi"/>
              <w:b w:val="0"/>
              <w:bCs w:val="0"/>
              <w:smallCaps w:val="0"/>
              <w:noProof/>
              <w:lang w:eastAsia="cs-CZ"/>
            </w:rPr>
          </w:pPr>
          <w:hyperlink w:anchor="_Toc769535" w:history="1">
            <w:r w:rsidRPr="00874BBF">
              <w:rPr>
                <w:rStyle w:val="Hyperlink"/>
                <w:rFonts w:ascii="Times New Roman" w:hAnsi="Times New Roman"/>
                <w:noProof/>
              </w:rPr>
              <w:t>4.1.</w:t>
            </w:r>
            <w:r>
              <w:rPr>
                <w:rFonts w:eastAsiaTheme="minorEastAsia" w:cstheme="minorBidi"/>
                <w:b w:val="0"/>
                <w:bCs w:val="0"/>
                <w:smallCaps w:val="0"/>
                <w:noProof/>
                <w:lang w:eastAsia="cs-CZ"/>
              </w:rPr>
              <w:tab/>
            </w:r>
            <w:r w:rsidRPr="00874BBF">
              <w:rPr>
                <w:rStyle w:val="Hyperlink"/>
                <w:rFonts w:ascii="Times New Roman" w:hAnsi="Times New Roman"/>
                <w:noProof/>
              </w:rPr>
              <w:t>Rozvahové instrumenty</w:t>
            </w:r>
            <w:r>
              <w:rPr>
                <w:noProof/>
                <w:webHidden/>
              </w:rPr>
              <w:tab/>
            </w:r>
            <w:r>
              <w:rPr>
                <w:noProof/>
                <w:webHidden/>
              </w:rPr>
              <w:fldChar w:fldCharType="begin"/>
            </w:r>
            <w:r>
              <w:rPr>
                <w:noProof/>
                <w:webHidden/>
              </w:rPr>
              <w:instrText xml:space="preserve"> PAGEREF _Toc769535 \h </w:instrText>
            </w:r>
            <w:r>
              <w:rPr>
                <w:noProof/>
                <w:webHidden/>
              </w:rPr>
            </w:r>
            <w:r>
              <w:rPr>
                <w:noProof/>
                <w:webHidden/>
              </w:rPr>
              <w:fldChar w:fldCharType="separate"/>
            </w:r>
            <w:r>
              <w:rPr>
                <w:noProof/>
                <w:webHidden/>
              </w:rPr>
              <w:t>20</w:t>
            </w:r>
            <w:r>
              <w:rPr>
                <w:noProof/>
                <w:webHidden/>
              </w:rPr>
              <w:fldChar w:fldCharType="end"/>
            </w:r>
          </w:hyperlink>
        </w:p>
        <w:p w:rsidR="00463E1A" w:rsidRDefault="00463E1A">
          <w:pPr>
            <w:pStyle w:val="TOC2"/>
            <w:tabs>
              <w:tab w:val="left" w:pos="550"/>
              <w:tab w:val="right" w:leader="dot" w:pos="9062"/>
            </w:tabs>
            <w:rPr>
              <w:rFonts w:eastAsiaTheme="minorEastAsia" w:cstheme="minorBidi"/>
              <w:b w:val="0"/>
              <w:bCs w:val="0"/>
              <w:smallCaps w:val="0"/>
              <w:noProof/>
              <w:lang w:eastAsia="cs-CZ"/>
            </w:rPr>
          </w:pPr>
          <w:hyperlink w:anchor="_Toc769536" w:history="1">
            <w:r w:rsidRPr="00874BBF">
              <w:rPr>
                <w:rStyle w:val="Hyperlink"/>
                <w:rFonts w:ascii="Times New Roman" w:hAnsi="Times New Roman"/>
                <w:noProof/>
              </w:rPr>
              <w:t>4.2.</w:t>
            </w:r>
            <w:r>
              <w:rPr>
                <w:rFonts w:eastAsiaTheme="minorEastAsia" w:cstheme="minorBidi"/>
                <w:b w:val="0"/>
                <w:bCs w:val="0"/>
                <w:smallCaps w:val="0"/>
                <w:noProof/>
                <w:lang w:eastAsia="cs-CZ"/>
              </w:rPr>
              <w:tab/>
            </w:r>
            <w:r w:rsidRPr="00874BBF">
              <w:rPr>
                <w:rStyle w:val="Hyperlink"/>
                <w:rFonts w:ascii="Times New Roman" w:hAnsi="Times New Roman"/>
                <w:noProof/>
              </w:rPr>
              <w:t>Podrozvahové instrumenty</w:t>
            </w:r>
            <w:r>
              <w:rPr>
                <w:noProof/>
                <w:webHidden/>
              </w:rPr>
              <w:tab/>
            </w:r>
            <w:r>
              <w:rPr>
                <w:noProof/>
                <w:webHidden/>
              </w:rPr>
              <w:fldChar w:fldCharType="begin"/>
            </w:r>
            <w:r>
              <w:rPr>
                <w:noProof/>
                <w:webHidden/>
              </w:rPr>
              <w:instrText xml:space="preserve"> PAGEREF _Toc769536 \h </w:instrText>
            </w:r>
            <w:r>
              <w:rPr>
                <w:noProof/>
                <w:webHidden/>
              </w:rPr>
            </w:r>
            <w:r>
              <w:rPr>
                <w:noProof/>
                <w:webHidden/>
              </w:rPr>
              <w:fldChar w:fldCharType="separate"/>
            </w:r>
            <w:r>
              <w:rPr>
                <w:noProof/>
                <w:webHidden/>
              </w:rPr>
              <w:t>31</w:t>
            </w:r>
            <w:r>
              <w:rPr>
                <w:noProof/>
                <w:webHidden/>
              </w:rPr>
              <w:fldChar w:fldCharType="end"/>
            </w:r>
          </w:hyperlink>
        </w:p>
        <w:p w:rsidR="00463E1A" w:rsidRDefault="00463E1A">
          <w:r>
            <w:rPr>
              <w:b/>
              <w:bCs/>
            </w:rPr>
            <w:fldChar w:fldCharType="end"/>
          </w:r>
        </w:p>
      </w:sdtContent>
    </w:sdt>
    <w:p w:rsidR="003D2D24" w:rsidRPr="00463E1A" w:rsidRDefault="00463E1A" w:rsidP="00FD1152">
      <w:pPr>
        <w:pStyle w:val="Heading1"/>
        <w:rPr>
          <w:rFonts w:ascii="Times New Roman" w:hAnsi="Times New Roman"/>
        </w:rPr>
      </w:pPr>
      <w:r>
        <w:rPr>
          <w:rFonts w:ascii="Times New Roman" w:hAnsi="Times New Roman"/>
          <w:b w:val="0"/>
        </w:rPr>
        <w:br w:type="column"/>
      </w:r>
      <w:bookmarkStart w:id="8" w:name="_Toc769526"/>
      <w:r w:rsidR="003D2D24" w:rsidRPr="00463E1A">
        <w:rPr>
          <w:rFonts w:ascii="Times New Roman" w:hAnsi="Times New Roman"/>
        </w:rPr>
        <w:lastRenderedPageBreak/>
        <w:t>Specifické požadavky na vykazování úvěrových dat</w:t>
      </w:r>
      <w:bookmarkEnd w:id="6"/>
      <w:bookmarkEnd w:id="7"/>
      <w:bookmarkEnd w:id="8"/>
    </w:p>
    <w:p w:rsidR="009F094E" w:rsidRPr="00463E1A" w:rsidRDefault="009F094E" w:rsidP="009F094E">
      <w:pPr>
        <w:rPr>
          <w:szCs w:val="22"/>
        </w:rPr>
      </w:pPr>
    </w:p>
    <w:p w:rsidR="00956626" w:rsidRPr="00463E1A" w:rsidRDefault="009F094E" w:rsidP="009F094E">
      <w:pPr>
        <w:pStyle w:val="Default"/>
        <w:rPr>
          <w:rFonts w:ascii="Times New Roman" w:hAnsi="Times New Roman" w:cs="Times New Roman"/>
          <w:b w:val="0"/>
          <w:sz w:val="22"/>
          <w:szCs w:val="22"/>
        </w:rPr>
      </w:pPr>
      <w:r w:rsidRPr="00463E1A">
        <w:rPr>
          <w:rFonts w:ascii="Times New Roman" w:hAnsi="Times New Roman" w:cs="Times New Roman"/>
          <w:b w:val="0"/>
          <w:sz w:val="22"/>
          <w:szCs w:val="22"/>
        </w:rPr>
        <w:t xml:space="preserve">Podle Článku 7 </w:t>
      </w:r>
      <w:r w:rsidR="00956626" w:rsidRPr="00463E1A">
        <w:rPr>
          <w:rFonts w:ascii="Times New Roman" w:hAnsi="Times New Roman" w:cs="Times New Roman"/>
          <w:b w:val="0"/>
          <w:sz w:val="22"/>
          <w:szCs w:val="22"/>
        </w:rPr>
        <w:t xml:space="preserve">a Přílohy II </w:t>
      </w:r>
      <w:r w:rsidRPr="00463E1A">
        <w:rPr>
          <w:rFonts w:ascii="Times New Roman" w:hAnsi="Times New Roman" w:cs="Times New Roman"/>
          <w:b w:val="0"/>
          <w:sz w:val="22"/>
          <w:szCs w:val="22"/>
        </w:rPr>
        <w:t xml:space="preserve"> </w:t>
      </w:r>
      <w:r w:rsidR="003275BE" w:rsidRPr="00463E1A">
        <w:rPr>
          <w:rFonts w:ascii="Times New Roman" w:hAnsi="Times New Roman" w:cs="Times New Roman"/>
          <w:b w:val="0"/>
          <w:sz w:val="22"/>
          <w:szCs w:val="22"/>
        </w:rPr>
        <w:fldChar w:fldCharType="begin"/>
      </w:r>
      <w:r w:rsidR="003275BE" w:rsidRPr="00463E1A">
        <w:rPr>
          <w:rFonts w:ascii="Times New Roman" w:hAnsi="Times New Roman" w:cs="Times New Roman"/>
          <w:b w:val="0"/>
          <w:sz w:val="22"/>
          <w:szCs w:val="22"/>
        </w:rPr>
        <w:instrText xml:space="preserve"> REF _Ref269858 \h  \* MERGEFORMAT </w:instrText>
      </w:r>
      <w:r w:rsidR="003275BE" w:rsidRPr="00463E1A">
        <w:rPr>
          <w:rFonts w:ascii="Times New Roman" w:hAnsi="Times New Roman" w:cs="Times New Roman"/>
          <w:b w:val="0"/>
          <w:sz w:val="22"/>
          <w:szCs w:val="22"/>
        </w:rPr>
      </w:r>
      <w:r w:rsidR="003275BE" w:rsidRPr="00463E1A">
        <w:rPr>
          <w:rFonts w:ascii="Times New Roman" w:hAnsi="Times New Roman" w:cs="Times New Roman"/>
          <w:b w:val="0"/>
          <w:sz w:val="22"/>
          <w:szCs w:val="22"/>
        </w:rPr>
        <w:fldChar w:fldCharType="separate"/>
      </w:r>
      <w:r w:rsidR="00463E1A" w:rsidRPr="00463E1A">
        <w:rPr>
          <w:rStyle w:val="SubtleReference"/>
          <w:rFonts w:ascii="Times New Roman" w:hAnsi="Times New Roman"/>
        </w:rPr>
        <w:t>Nařízení ECB (EU)  2016/867</w:t>
      </w:r>
      <w:r w:rsidR="003275BE" w:rsidRPr="00463E1A">
        <w:rPr>
          <w:rFonts w:ascii="Times New Roman" w:hAnsi="Times New Roman" w:cs="Times New Roman"/>
          <w:b w:val="0"/>
          <w:sz w:val="22"/>
          <w:szCs w:val="22"/>
        </w:rPr>
        <w:fldChar w:fldCharType="end"/>
      </w:r>
      <w:r w:rsidR="003275BE" w:rsidRPr="00463E1A">
        <w:rPr>
          <w:rFonts w:ascii="Times New Roman" w:hAnsi="Times New Roman" w:cs="Times New Roman"/>
          <w:b w:val="0"/>
          <w:sz w:val="22"/>
          <w:szCs w:val="22"/>
        </w:rPr>
        <w:t xml:space="preserve"> </w:t>
      </w:r>
      <w:r w:rsidR="006B2564" w:rsidRPr="00463E1A">
        <w:rPr>
          <w:rFonts w:ascii="Times New Roman" w:hAnsi="Times New Roman" w:cs="Times New Roman"/>
          <w:b w:val="0"/>
          <w:sz w:val="22"/>
          <w:szCs w:val="22"/>
        </w:rPr>
        <w:t>j</w:t>
      </w:r>
      <w:r w:rsidR="00382E88" w:rsidRPr="00463E1A">
        <w:rPr>
          <w:rFonts w:ascii="Times New Roman" w:hAnsi="Times New Roman" w:cs="Times New Roman"/>
          <w:b w:val="0"/>
          <w:sz w:val="22"/>
          <w:szCs w:val="22"/>
        </w:rPr>
        <w:t>e</w:t>
      </w:r>
      <w:r w:rsidR="00956626" w:rsidRPr="00463E1A">
        <w:rPr>
          <w:rFonts w:ascii="Times New Roman" w:hAnsi="Times New Roman" w:cs="Times New Roman"/>
          <w:b w:val="0"/>
          <w:sz w:val="22"/>
          <w:szCs w:val="22"/>
        </w:rPr>
        <w:t xml:space="preserve"> statistická </w:t>
      </w:r>
      <w:r w:rsidR="007144C8" w:rsidRPr="00463E1A">
        <w:rPr>
          <w:rFonts w:ascii="Times New Roman" w:hAnsi="Times New Roman" w:cs="Times New Roman"/>
          <w:b w:val="0"/>
          <w:sz w:val="22"/>
          <w:szCs w:val="22"/>
        </w:rPr>
        <w:t>vykazovací</w:t>
      </w:r>
      <w:r w:rsidR="006B2564" w:rsidRPr="00463E1A">
        <w:rPr>
          <w:rFonts w:ascii="Times New Roman" w:hAnsi="Times New Roman" w:cs="Times New Roman"/>
          <w:b w:val="0"/>
          <w:sz w:val="22"/>
          <w:szCs w:val="22"/>
        </w:rPr>
        <w:t xml:space="preserve"> povinnost snížena, pokud je splněna alespoň jedna z následujících podmínek:</w:t>
      </w:r>
    </w:p>
    <w:p w:rsidR="00956626" w:rsidRPr="00463E1A" w:rsidRDefault="00745388" w:rsidP="00745388">
      <w:pPr>
        <w:pStyle w:val="Default"/>
        <w:numPr>
          <w:ilvl w:val="0"/>
          <w:numId w:val="22"/>
        </w:numPr>
        <w:rPr>
          <w:rFonts w:ascii="Times New Roman" w:hAnsi="Times New Roman" w:cs="Times New Roman"/>
          <w:b w:val="0"/>
          <w:sz w:val="22"/>
          <w:szCs w:val="22"/>
        </w:rPr>
      </w:pPr>
      <w:r w:rsidRPr="00463E1A">
        <w:rPr>
          <w:rFonts w:ascii="Times New Roman" w:hAnsi="Times New Roman" w:cs="Times New Roman"/>
          <w:b w:val="0"/>
          <w:sz w:val="22"/>
          <w:szCs w:val="22"/>
        </w:rPr>
        <w:t>CD0020 -</w:t>
      </w:r>
      <w:r w:rsidR="00956626" w:rsidRPr="00463E1A">
        <w:rPr>
          <w:rFonts w:ascii="Times New Roman" w:hAnsi="Times New Roman" w:cs="Times New Roman"/>
          <w:b w:val="0"/>
          <w:sz w:val="22"/>
          <w:szCs w:val="22"/>
        </w:rPr>
        <w:t xml:space="preserve">Sledovaný subjekt není rezidentem </w:t>
      </w:r>
      <w:r w:rsidR="007144C8" w:rsidRPr="00463E1A">
        <w:rPr>
          <w:rFonts w:ascii="Times New Roman" w:hAnsi="Times New Roman" w:cs="Times New Roman"/>
          <w:b w:val="0"/>
          <w:bCs/>
          <w:sz w:val="22"/>
          <w:szCs w:val="22"/>
        </w:rPr>
        <w:t>vykazujícího</w:t>
      </w:r>
      <w:r w:rsidR="00956626" w:rsidRPr="00463E1A">
        <w:rPr>
          <w:rFonts w:ascii="Times New Roman" w:hAnsi="Times New Roman" w:cs="Times New Roman"/>
          <w:b w:val="0"/>
          <w:bCs/>
          <w:sz w:val="22"/>
          <w:szCs w:val="22"/>
        </w:rPr>
        <w:t xml:space="preserve"> členského státu </w:t>
      </w:r>
    </w:p>
    <w:p w:rsidR="00956626" w:rsidRPr="00463E1A" w:rsidRDefault="00745388" w:rsidP="00745388">
      <w:pPr>
        <w:pStyle w:val="Default"/>
        <w:numPr>
          <w:ilvl w:val="0"/>
          <w:numId w:val="22"/>
        </w:numPr>
        <w:rPr>
          <w:rFonts w:ascii="Times New Roman" w:hAnsi="Times New Roman" w:cs="Times New Roman"/>
          <w:b w:val="0"/>
          <w:sz w:val="22"/>
          <w:szCs w:val="22"/>
        </w:rPr>
      </w:pPr>
      <w:r w:rsidRPr="00463E1A">
        <w:rPr>
          <w:rFonts w:ascii="Times New Roman" w:hAnsi="Times New Roman" w:cs="Times New Roman"/>
          <w:b w:val="0"/>
          <w:bCs/>
          <w:sz w:val="22"/>
          <w:szCs w:val="22"/>
        </w:rPr>
        <w:t>CD0030 -</w:t>
      </w:r>
      <w:r w:rsidR="00956626" w:rsidRPr="00463E1A">
        <w:rPr>
          <w:rFonts w:ascii="Times New Roman" w:hAnsi="Times New Roman" w:cs="Times New Roman"/>
          <w:b w:val="0"/>
          <w:bCs/>
          <w:sz w:val="22"/>
          <w:szCs w:val="22"/>
        </w:rPr>
        <w:t>Se na sledovaný subjekt nevztahují kapitálové požadavky</w:t>
      </w:r>
      <w:r w:rsidR="00956626" w:rsidRPr="00463E1A">
        <w:rPr>
          <w:rFonts w:ascii="Times New Roman" w:hAnsi="Times New Roman" w:cs="Times New Roman"/>
          <w:b w:val="0"/>
          <w:sz w:val="22"/>
          <w:szCs w:val="22"/>
        </w:rPr>
        <w:t>.</w:t>
      </w:r>
    </w:p>
    <w:p w:rsidR="00956626" w:rsidRPr="00463E1A" w:rsidRDefault="00745388" w:rsidP="00745388">
      <w:pPr>
        <w:pStyle w:val="Default"/>
        <w:numPr>
          <w:ilvl w:val="0"/>
          <w:numId w:val="22"/>
        </w:numPr>
        <w:rPr>
          <w:rFonts w:ascii="Times New Roman" w:hAnsi="Times New Roman" w:cs="Times New Roman"/>
          <w:b w:val="0"/>
          <w:bCs/>
          <w:sz w:val="22"/>
          <w:szCs w:val="22"/>
        </w:rPr>
      </w:pPr>
      <w:r w:rsidRPr="00463E1A">
        <w:rPr>
          <w:rFonts w:ascii="Times New Roman" w:hAnsi="Times New Roman" w:cs="Times New Roman"/>
          <w:b w:val="0"/>
          <w:sz w:val="22"/>
          <w:szCs w:val="22"/>
        </w:rPr>
        <w:t>CD0040 -</w:t>
      </w:r>
      <w:r w:rsidR="00956626" w:rsidRPr="00463E1A">
        <w:rPr>
          <w:rFonts w:ascii="Times New Roman" w:hAnsi="Times New Roman" w:cs="Times New Roman"/>
          <w:b w:val="0"/>
          <w:sz w:val="22"/>
          <w:szCs w:val="22"/>
        </w:rPr>
        <w:t>Se vykazují n</w:t>
      </w:r>
      <w:r w:rsidR="00956626" w:rsidRPr="00463E1A">
        <w:rPr>
          <w:rFonts w:ascii="Times New Roman" w:hAnsi="Times New Roman" w:cs="Times New Roman"/>
          <w:b w:val="0"/>
          <w:bCs/>
          <w:sz w:val="22"/>
          <w:szCs w:val="22"/>
        </w:rPr>
        <w:t>ástroje odúčtované v plném rozsahu, které jsou obsluhovány</w:t>
      </w:r>
    </w:p>
    <w:p w:rsidR="00956626" w:rsidRPr="00463E1A" w:rsidRDefault="00745388" w:rsidP="00745388">
      <w:pPr>
        <w:pStyle w:val="Default"/>
        <w:numPr>
          <w:ilvl w:val="0"/>
          <w:numId w:val="22"/>
        </w:numPr>
        <w:rPr>
          <w:rFonts w:ascii="Times New Roman" w:hAnsi="Times New Roman" w:cs="Times New Roman"/>
          <w:b w:val="0"/>
          <w:bCs/>
          <w:sz w:val="22"/>
          <w:szCs w:val="22"/>
        </w:rPr>
      </w:pPr>
      <w:r w:rsidRPr="00463E1A">
        <w:rPr>
          <w:rFonts w:ascii="Times New Roman" w:hAnsi="Times New Roman" w:cs="Times New Roman"/>
          <w:b w:val="0"/>
          <w:bCs/>
          <w:sz w:val="22"/>
          <w:szCs w:val="22"/>
        </w:rPr>
        <w:t xml:space="preserve">CD0050- </w:t>
      </w:r>
      <w:r w:rsidR="00956626" w:rsidRPr="00463E1A">
        <w:rPr>
          <w:rFonts w:ascii="Times New Roman" w:hAnsi="Times New Roman" w:cs="Times New Roman"/>
          <w:b w:val="0"/>
          <w:bCs/>
          <w:sz w:val="22"/>
          <w:szCs w:val="22"/>
        </w:rPr>
        <w:t>Nástroje vznikly před rozh</w:t>
      </w:r>
      <w:r w:rsidR="0073334C" w:rsidRPr="00463E1A">
        <w:rPr>
          <w:rFonts w:ascii="Times New Roman" w:hAnsi="Times New Roman" w:cs="Times New Roman"/>
          <w:b w:val="0"/>
          <w:bCs/>
          <w:sz w:val="22"/>
          <w:szCs w:val="22"/>
        </w:rPr>
        <w:t>od</w:t>
      </w:r>
      <w:r w:rsidR="00956626" w:rsidRPr="00463E1A">
        <w:rPr>
          <w:rFonts w:ascii="Times New Roman" w:hAnsi="Times New Roman" w:cs="Times New Roman"/>
          <w:b w:val="0"/>
          <w:bCs/>
          <w:sz w:val="22"/>
          <w:szCs w:val="22"/>
        </w:rPr>
        <w:t>ným datem 1.9.2018</w:t>
      </w:r>
    </w:p>
    <w:p w:rsidR="00956626" w:rsidRPr="00463E1A" w:rsidRDefault="003275BE" w:rsidP="00745388">
      <w:pPr>
        <w:rPr>
          <w:szCs w:val="22"/>
        </w:rPr>
      </w:pPr>
      <w:r w:rsidRPr="00463E1A">
        <w:rPr>
          <w:rStyle w:val="SubtleReference"/>
          <w:rFonts w:ascii="Times New Roman" w:hAnsi="Times New Roman"/>
          <w:szCs w:val="22"/>
        </w:rPr>
        <w:fldChar w:fldCharType="begin"/>
      </w:r>
      <w:r w:rsidRPr="00463E1A">
        <w:rPr>
          <w:rStyle w:val="SubtleReference"/>
          <w:rFonts w:ascii="Times New Roman" w:hAnsi="Times New Roman"/>
          <w:szCs w:val="22"/>
        </w:rPr>
        <w:instrText xml:space="preserve"> REF _Ref269941 \h  \* MERGEFORMAT </w:instrText>
      </w:r>
      <w:r w:rsidRPr="00463E1A">
        <w:rPr>
          <w:rStyle w:val="SubtleReference"/>
          <w:rFonts w:ascii="Times New Roman" w:hAnsi="Times New Roman"/>
          <w:szCs w:val="22"/>
        </w:rPr>
      </w:r>
      <w:r w:rsidRPr="00463E1A">
        <w:rPr>
          <w:rStyle w:val="SubtleReference"/>
          <w:rFonts w:ascii="Times New Roman" w:hAnsi="Times New Roman"/>
          <w:szCs w:val="22"/>
        </w:rPr>
        <w:fldChar w:fldCharType="separate"/>
      </w:r>
      <w:proofErr w:type="spellStart"/>
      <w:r w:rsidR="00463E1A" w:rsidRPr="00463E1A">
        <w:rPr>
          <w:rStyle w:val="SubtleReference"/>
          <w:rFonts w:ascii="Times New Roman" w:hAnsi="Times New Roman"/>
        </w:rPr>
        <w:t>Anacredit</w:t>
      </w:r>
      <w:proofErr w:type="spellEnd"/>
      <w:r w:rsidR="00463E1A" w:rsidRPr="00463E1A">
        <w:rPr>
          <w:rStyle w:val="SubtleReference"/>
          <w:rFonts w:ascii="Times New Roman" w:hAnsi="Times New Roman"/>
        </w:rPr>
        <w:t xml:space="preserve"> Manul, Part II</w:t>
      </w:r>
      <w:r w:rsidRPr="00463E1A">
        <w:rPr>
          <w:rStyle w:val="SubtleReference"/>
          <w:rFonts w:ascii="Times New Roman" w:hAnsi="Times New Roman"/>
          <w:szCs w:val="22"/>
        </w:rPr>
        <w:fldChar w:fldCharType="end"/>
      </w:r>
      <w:r w:rsidRPr="00463E1A">
        <w:rPr>
          <w:szCs w:val="22"/>
        </w:rPr>
        <w:t xml:space="preserve"> </w:t>
      </w:r>
      <w:r w:rsidR="00956626" w:rsidRPr="00463E1A">
        <w:rPr>
          <w:szCs w:val="22"/>
        </w:rPr>
        <w:t xml:space="preserve">dále snižuje </w:t>
      </w:r>
      <w:r w:rsidR="007144C8" w:rsidRPr="00463E1A">
        <w:rPr>
          <w:szCs w:val="22"/>
        </w:rPr>
        <w:t>vykazovací</w:t>
      </w:r>
      <w:r w:rsidR="00956626" w:rsidRPr="00463E1A">
        <w:rPr>
          <w:szCs w:val="22"/>
        </w:rPr>
        <w:t xml:space="preserve"> povinnost</w:t>
      </w:r>
      <w:r w:rsidR="00D80774" w:rsidRPr="00463E1A">
        <w:rPr>
          <w:szCs w:val="22"/>
        </w:rPr>
        <w:t xml:space="preserve"> o</w:t>
      </w:r>
      <w:r w:rsidR="00956626" w:rsidRPr="00463E1A">
        <w:rPr>
          <w:szCs w:val="22"/>
        </w:rPr>
        <w:t>:</w:t>
      </w:r>
    </w:p>
    <w:p w:rsidR="00956626" w:rsidRPr="00463E1A" w:rsidRDefault="00745388" w:rsidP="00745388">
      <w:pPr>
        <w:pStyle w:val="Default"/>
        <w:numPr>
          <w:ilvl w:val="0"/>
          <w:numId w:val="23"/>
        </w:numPr>
        <w:rPr>
          <w:rFonts w:ascii="Times New Roman" w:hAnsi="Times New Roman" w:cs="Times New Roman"/>
          <w:b w:val="0"/>
          <w:bCs/>
          <w:sz w:val="22"/>
          <w:szCs w:val="22"/>
        </w:rPr>
      </w:pPr>
      <w:r w:rsidRPr="00463E1A">
        <w:rPr>
          <w:rFonts w:ascii="Times New Roman" w:hAnsi="Times New Roman" w:cs="Times New Roman"/>
          <w:b w:val="0"/>
          <w:bCs/>
          <w:sz w:val="22"/>
          <w:szCs w:val="22"/>
        </w:rPr>
        <w:t xml:space="preserve">CD0041 - </w:t>
      </w:r>
      <w:r w:rsidR="00956626" w:rsidRPr="00463E1A">
        <w:rPr>
          <w:rFonts w:ascii="Times New Roman" w:hAnsi="Times New Roman" w:cs="Times New Roman"/>
          <w:b w:val="0"/>
          <w:bCs/>
          <w:sz w:val="22"/>
          <w:szCs w:val="22"/>
        </w:rPr>
        <w:t xml:space="preserve">Pro instrumenty, kde věřitel i dlužník jsou </w:t>
      </w:r>
      <w:r w:rsidR="0009358F" w:rsidRPr="00463E1A">
        <w:rPr>
          <w:rFonts w:ascii="Times New Roman" w:hAnsi="Times New Roman" w:cs="Times New Roman"/>
          <w:b w:val="0"/>
          <w:bCs/>
          <w:sz w:val="22"/>
          <w:szCs w:val="22"/>
        </w:rPr>
        <w:t>institucionální jednotky téže právnické osoby (</w:t>
      </w:r>
      <w:r w:rsidR="0073334C" w:rsidRPr="00463E1A">
        <w:rPr>
          <w:rFonts w:ascii="Times New Roman" w:hAnsi="Times New Roman" w:cs="Times New Roman"/>
          <w:b w:val="0"/>
          <w:bCs/>
          <w:sz w:val="22"/>
          <w:szCs w:val="22"/>
        </w:rPr>
        <w:t>oddíl 5.1)</w:t>
      </w:r>
    </w:p>
    <w:p w:rsidR="0073334C" w:rsidRPr="00463E1A" w:rsidRDefault="00745388" w:rsidP="00745388">
      <w:pPr>
        <w:pStyle w:val="Default"/>
        <w:numPr>
          <w:ilvl w:val="0"/>
          <w:numId w:val="23"/>
        </w:numPr>
        <w:rPr>
          <w:rFonts w:ascii="Times New Roman" w:hAnsi="Times New Roman" w:cs="Times New Roman"/>
          <w:b w:val="0"/>
          <w:bCs/>
          <w:sz w:val="22"/>
          <w:szCs w:val="22"/>
        </w:rPr>
      </w:pPr>
      <w:r w:rsidRPr="00463E1A">
        <w:rPr>
          <w:rFonts w:ascii="Times New Roman" w:hAnsi="Times New Roman" w:cs="Times New Roman"/>
          <w:b w:val="0"/>
          <w:bCs/>
          <w:sz w:val="22"/>
          <w:szCs w:val="22"/>
        </w:rPr>
        <w:t xml:space="preserve">CD0060, CD0070 - </w:t>
      </w:r>
      <w:r w:rsidR="0073334C" w:rsidRPr="00463E1A">
        <w:rPr>
          <w:rFonts w:ascii="Times New Roman" w:hAnsi="Times New Roman" w:cs="Times New Roman"/>
          <w:b w:val="0"/>
          <w:bCs/>
          <w:sz w:val="22"/>
          <w:szCs w:val="22"/>
        </w:rPr>
        <w:t>Neobsluhované pohledávky odúčtované v plném rozsahu (oddíl 3.1.6)</w:t>
      </w:r>
    </w:p>
    <w:p w:rsidR="00745388" w:rsidRPr="00463E1A" w:rsidRDefault="00745388" w:rsidP="00745388">
      <w:pPr>
        <w:rPr>
          <w:szCs w:val="22"/>
        </w:rPr>
      </w:pPr>
      <w:r w:rsidRPr="00463E1A">
        <w:rPr>
          <w:szCs w:val="22"/>
        </w:rPr>
        <w:t xml:space="preserve">A z podstaty věci: </w:t>
      </w:r>
    </w:p>
    <w:p w:rsidR="00745388" w:rsidRPr="00463E1A" w:rsidRDefault="00745388" w:rsidP="00745388">
      <w:pPr>
        <w:pStyle w:val="ListParagraph"/>
        <w:numPr>
          <w:ilvl w:val="0"/>
          <w:numId w:val="21"/>
        </w:numPr>
        <w:rPr>
          <w:szCs w:val="22"/>
        </w:rPr>
      </w:pPr>
      <w:r w:rsidRPr="00463E1A">
        <w:rPr>
          <w:szCs w:val="22"/>
        </w:rPr>
        <w:t>CD0039 – Pro instrumenty nově vzniklé před koncem čtvrtletí nemohou být dostupná data ve čtvrtletních výkazech.</w:t>
      </w:r>
    </w:p>
    <w:p w:rsidR="00A03367" w:rsidRPr="00463E1A" w:rsidRDefault="00A03367" w:rsidP="00745388">
      <w:pPr>
        <w:rPr>
          <w:bCs/>
          <w:szCs w:val="22"/>
        </w:rPr>
      </w:pPr>
      <w:r w:rsidRPr="00463E1A">
        <w:rPr>
          <w:bCs/>
          <w:szCs w:val="22"/>
        </w:rPr>
        <w:t xml:space="preserve">Podmínky </w:t>
      </w:r>
      <w:r w:rsidR="00745388" w:rsidRPr="00463E1A">
        <w:rPr>
          <w:bCs/>
          <w:szCs w:val="22"/>
        </w:rPr>
        <w:t>CD0020 až CD0070</w:t>
      </w:r>
      <w:r w:rsidRPr="00463E1A">
        <w:rPr>
          <w:bCs/>
          <w:szCs w:val="22"/>
        </w:rPr>
        <w:t xml:space="preserve"> pro snížení </w:t>
      </w:r>
      <w:r w:rsidR="007144C8" w:rsidRPr="00463E1A">
        <w:rPr>
          <w:bCs/>
          <w:szCs w:val="22"/>
        </w:rPr>
        <w:t>vykazovací</w:t>
      </w:r>
      <w:r w:rsidRPr="00463E1A">
        <w:rPr>
          <w:bCs/>
          <w:szCs w:val="22"/>
        </w:rPr>
        <w:t xml:space="preserve"> povinnosti jsou formulovány v dokumentu </w:t>
      </w:r>
      <w:r w:rsidR="003275BE" w:rsidRPr="00463E1A">
        <w:rPr>
          <w:bCs/>
          <w:szCs w:val="22"/>
        </w:rPr>
        <w:t xml:space="preserve"> </w:t>
      </w:r>
      <w:r w:rsidR="003275BE" w:rsidRPr="00463E1A">
        <w:rPr>
          <w:rStyle w:val="SubtleReference"/>
          <w:rFonts w:ascii="Times New Roman" w:hAnsi="Times New Roman"/>
          <w:szCs w:val="22"/>
        </w:rPr>
        <w:fldChar w:fldCharType="begin"/>
      </w:r>
      <w:r w:rsidR="003275BE" w:rsidRPr="00463E1A">
        <w:rPr>
          <w:rStyle w:val="SubtleReference"/>
          <w:rFonts w:ascii="Times New Roman" w:hAnsi="Times New Roman"/>
          <w:szCs w:val="22"/>
        </w:rPr>
        <w:instrText xml:space="preserve"> REF _Ref270058 \h  \* MERGEFORMAT </w:instrText>
      </w:r>
      <w:r w:rsidR="003275BE" w:rsidRPr="00463E1A">
        <w:rPr>
          <w:rStyle w:val="SubtleReference"/>
          <w:rFonts w:ascii="Times New Roman" w:hAnsi="Times New Roman"/>
          <w:szCs w:val="22"/>
        </w:rPr>
      </w:r>
      <w:r w:rsidR="003275BE" w:rsidRPr="00463E1A">
        <w:rPr>
          <w:rStyle w:val="SubtleReference"/>
          <w:rFonts w:ascii="Times New Roman" w:hAnsi="Times New Roman"/>
          <w:szCs w:val="22"/>
        </w:rPr>
        <w:fldChar w:fldCharType="separate"/>
      </w:r>
      <w:proofErr w:type="spellStart"/>
      <w:r w:rsidR="00463E1A" w:rsidRPr="00463E1A">
        <w:rPr>
          <w:rStyle w:val="SubtleReference"/>
          <w:rFonts w:ascii="Times New Roman" w:hAnsi="Times New Roman"/>
        </w:rPr>
        <w:t>Anacredit</w:t>
      </w:r>
      <w:proofErr w:type="spellEnd"/>
      <w:r w:rsidR="00463E1A" w:rsidRPr="00463E1A">
        <w:rPr>
          <w:rStyle w:val="SubtleReference"/>
          <w:rFonts w:ascii="Times New Roman" w:hAnsi="Times New Roman"/>
        </w:rPr>
        <w:t xml:space="preserve"> </w:t>
      </w:r>
      <w:proofErr w:type="spellStart"/>
      <w:r w:rsidR="00463E1A" w:rsidRPr="00463E1A">
        <w:rPr>
          <w:rStyle w:val="SubtleReference"/>
          <w:rFonts w:ascii="Times New Roman" w:hAnsi="Times New Roman"/>
        </w:rPr>
        <w:t>Validation</w:t>
      </w:r>
      <w:proofErr w:type="spellEnd"/>
      <w:r w:rsidR="00463E1A" w:rsidRPr="00463E1A">
        <w:rPr>
          <w:rStyle w:val="SubtleReference"/>
          <w:rFonts w:ascii="Times New Roman" w:hAnsi="Times New Roman"/>
        </w:rPr>
        <w:t xml:space="preserve"> </w:t>
      </w:r>
      <w:proofErr w:type="spellStart"/>
      <w:r w:rsidR="00463E1A" w:rsidRPr="00463E1A">
        <w:rPr>
          <w:rStyle w:val="SubtleReference"/>
          <w:rFonts w:ascii="Times New Roman" w:hAnsi="Times New Roman"/>
        </w:rPr>
        <w:t>Checks</w:t>
      </w:r>
      <w:proofErr w:type="spellEnd"/>
      <w:r w:rsidR="003275BE" w:rsidRPr="00463E1A">
        <w:rPr>
          <w:rStyle w:val="SubtleReference"/>
          <w:rFonts w:ascii="Times New Roman" w:hAnsi="Times New Roman"/>
          <w:szCs w:val="22"/>
        </w:rPr>
        <w:fldChar w:fldCharType="end"/>
      </w:r>
      <w:r w:rsidR="003275BE" w:rsidRPr="00463E1A">
        <w:rPr>
          <w:bCs/>
          <w:szCs w:val="22"/>
        </w:rPr>
        <w:t xml:space="preserve"> </w:t>
      </w:r>
      <w:r w:rsidRPr="00463E1A">
        <w:rPr>
          <w:bCs/>
          <w:szCs w:val="22"/>
        </w:rPr>
        <w:t>publikovaném ECB.</w:t>
      </w:r>
    </w:p>
    <w:p w:rsidR="00A03367" w:rsidRPr="00463E1A" w:rsidRDefault="00A03367" w:rsidP="009F094E">
      <w:pPr>
        <w:pStyle w:val="Default"/>
        <w:rPr>
          <w:rFonts w:ascii="Times New Roman" w:hAnsi="Times New Roman" w:cs="Times New Roman"/>
          <w:b w:val="0"/>
          <w:bCs/>
          <w:sz w:val="22"/>
          <w:szCs w:val="22"/>
        </w:rPr>
      </w:pPr>
    </w:p>
    <w:p w:rsidR="00A03367" w:rsidRPr="00463E1A" w:rsidRDefault="00A03367" w:rsidP="009F094E">
      <w:pPr>
        <w:pStyle w:val="Default"/>
        <w:rPr>
          <w:rFonts w:ascii="Times New Roman" w:hAnsi="Times New Roman" w:cs="Times New Roman"/>
          <w:b w:val="0"/>
          <w:bCs/>
          <w:sz w:val="22"/>
          <w:szCs w:val="22"/>
        </w:rPr>
      </w:pPr>
      <w:r w:rsidRPr="00463E1A">
        <w:rPr>
          <w:rFonts w:ascii="Times New Roman" w:hAnsi="Times New Roman" w:cs="Times New Roman"/>
          <w:bCs/>
          <w:sz w:val="22"/>
          <w:szCs w:val="22"/>
        </w:rPr>
        <w:t xml:space="preserve">Snížením </w:t>
      </w:r>
      <w:r w:rsidR="007144C8" w:rsidRPr="00463E1A">
        <w:rPr>
          <w:rFonts w:ascii="Times New Roman" w:hAnsi="Times New Roman" w:cs="Times New Roman"/>
          <w:bCs/>
          <w:sz w:val="22"/>
          <w:szCs w:val="22"/>
        </w:rPr>
        <w:t xml:space="preserve">vykazovací </w:t>
      </w:r>
      <w:r w:rsidRPr="00463E1A">
        <w:rPr>
          <w:rFonts w:ascii="Times New Roman" w:hAnsi="Times New Roman" w:cs="Times New Roman"/>
          <w:bCs/>
          <w:sz w:val="22"/>
          <w:szCs w:val="22"/>
        </w:rPr>
        <w:t>povinnosti</w:t>
      </w:r>
      <w:r w:rsidRPr="00463E1A">
        <w:rPr>
          <w:rFonts w:ascii="Times New Roman" w:hAnsi="Times New Roman" w:cs="Times New Roman"/>
          <w:b w:val="0"/>
          <w:bCs/>
          <w:sz w:val="22"/>
          <w:szCs w:val="22"/>
        </w:rPr>
        <w:t xml:space="preserve"> se rozumí možnost nevykazovat konkrétní hodnotu atributu, ale namísto toho vykázáním řetězce NTRQ (not </w:t>
      </w:r>
      <w:proofErr w:type="spellStart"/>
      <w:r w:rsidRPr="00463E1A">
        <w:rPr>
          <w:rFonts w:ascii="Times New Roman" w:hAnsi="Times New Roman" w:cs="Times New Roman"/>
          <w:b w:val="0"/>
          <w:bCs/>
          <w:sz w:val="22"/>
          <w:szCs w:val="22"/>
        </w:rPr>
        <w:t>required</w:t>
      </w:r>
      <w:proofErr w:type="spellEnd"/>
      <w:r w:rsidRPr="00463E1A">
        <w:rPr>
          <w:rFonts w:ascii="Times New Roman" w:hAnsi="Times New Roman" w:cs="Times New Roman"/>
          <w:b w:val="0"/>
          <w:bCs/>
          <w:sz w:val="22"/>
          <w:szCs w:val="22"/>
        </w:rPr>
        <w:t xml:space="preserve">) indikovat, že atribut není plněný, protože byla splněna některá z podmínek </w:t>
      </w:r>
      <w:r w:rsidR="00AD22A4" w:rsidRPr="00463E1A">
        <w:rPr>
          <w:rFonts w:ascii="Times New Roman" w:hAnsi="Times New Roman" w:cs="Times New Roman"/>
          <w:b w:val="0"/>
          <w:bCs/>
          <w:sz w:val="22"/>
          <w:szCs w:val="22"/>
        </w:rPr>
        <w:t>CD0020 až CD0070</w:t>
      </w:r>
      <w:r w:rsidRPr="00463E1A">
        <w:rPr>
          <w:rFonts w:ascii="Times New Roman" w:hAnsi="Times New Roman" w:cs="Times New Roman"/>
          <w:b w:val="0"/>
          <w:bCs/>
          <w:sz w:val="22"/>
          <w:szCs w:val="22"/>
        </w:rPr>
        <w:t xml:space="preserve">. </w:t>
      </w:r>
    </w:p>
    <w:p w:rsidR="00A03367" w:rsidRPr="00463E1A" w:rsidRDefault="00A03367" w:rsidP="009F094E">
      <w:pPr>
        <w:pStyle w:val="Default"/>
        <w:rPr>
          <w:rFonts w:ascii="Times New Roman" w:hAnsi="Times New Roman" w:cs="Times New Roman"/>
          <w:b w:val="0"/>
          <w:bCs/>
          <w:sz w:val="22"/>
          <w:szCs w:val="22"/>
        </w:rPr>
      </w:pPr>
    </w:p>
    <w:p w:rsidR="00956626" w:rsidRPr="00463E1A" w:rsidRDefault="00A03367" w:rsidP="009F094E">
      <w:pPr>
        <w:pStyle w:val="Default"/>
        <w:rPr>
          <w:rFonts w:ascii="Times New Roman" w:hAnsi="Times New Roman" w:cs="Times New Roman"/>
          <w:b w:val="0"/>
          <w:bCs/>
          <w:sz w:val="22"/>
          <w:szCs w:val="22"/>
        </w:rPr>
      </w:pPr>
      <w:r w:rsidRPr="00463E1A">
        <w:rPr>
          <w:rFonts w:ascii="Times New Roman" w:hAnsi="Times New Roman" w:cs="Times New Roman"/>
          <w:b w:val="0"/>
          <w:bCs/>
          <w:sz w:val="22"/>
          <w:szCs w:val="22"/>
        </w:rPr>
        <w:t xml:space="preserve">Konfigurace podmínek, za kterých je možné vykázat v konkrétním atributu NTRQ, je pro každý atribut jiná. </w:t>
      </w:r>
      <w:r w:rsidR="00382E88" w:rsidRPr="00463E1A">
        <w:rPr>
          <w:rFonts w:ascii="Times New Roman" w:hAnsi="Times New Roman" w:cs="Times New Roman"/>
          <w:b w:val="0"/>
          <w:bCs/>
          <w:sz w:val="22"/>
          <w:szCs w:val="22"/>
        </w:rPr>
        <w:t xml:space="preserve">U některých atributů </w:t>
      </w:r>
      <w:r w:rsidRPr="00463E1A">
        <w:rPr>
          <w:rFonts w:ascii="Times New Roman" w:hAnsi="Times New Roman" w:cs="Times New Roman"/>
          <w:b w:val="0"/>
          <w:bCs/>
          <w:sz w:val="22"/>
          <w:szCs w:val="22"/>
        </w:rPr>
        <w:t xml:space="preserve">bylo plnění hodnotou NTRQ povoleno ECB, u jiných bylo </w:t>
      </w:r>
      <w:r w:rsidR="00382E88" w:rsidRPr="00463E1A">
        <w:rPr>
          <w:rFonts w:ascii="Times New Roman" w:hAnsi="Times New Roman" w:cs="Times New Roman"/>
          <w:b w:val="0"/>
          <w:bCs/>
          <w:sz w:val="22"/>
          <w:szCs w:val="22"/>
        </w:rPr>
        <w:t xml:space="preserve">rozhodnutí ponecháno na národní centrální bance.  U národních atributů rozhoduje o snížení </w:t>
      </w:r>
      <w:r w:rsidR="007144C8" w:rsidRPr="00463E1A">
        <w:rPr>
          <w:rFonts w:ascii="Times New Roman" w:hAnsi="Times New Roman" w:cs="Times New Roman"/>
          <w:b w:val="0"/>
          <w:bCs/>
          <w:sz w:val="22"/>
          <w:szCs w:val="22"/>
        </w:rPr>
        <w:t xml:space="preserve">vykazovací </w:t>
      </w:r>
      <w:r w:rsidR="00382E88" w:rsidRPr="00463E1A">
        <w:rPr>
          <w:rFonts w:ascii="Times New Roman" w:hAnsi="Times New Roman" w:cs="Times New Roman"/>
          <w:b w:val="0"/>
          <w:bCs/>
          <w:sz w:val="22"/>
          <w:szCs w:val="22"/>
        </w:rPr>
        <w:t>povinnosti ČNB.</w:t>
      </w:r>
    </w:p>
    <w:p w:rsidR="00F23ADA" w:rsidRPr="00463E1A" w:rsidRDefault="00F23ADA" w:rsidP="009F094E">
      <w:pPr>
        <w:pStyle w:val="Default"/>
        <w:rPr>
          <w:rFonts w:ascii="Times New Roman" w:hAnsi="Times New Roman" w:cs="Times New Roman"/>
          <w:b w:val="0"/>
          <w:bCs/>
          <w:sz w:val="22"/>
          <w:szCs w:val="22"/>
        </w:rPr>
      </w:pPr>
    </w:p>
    <w:p w:rsidR="004B484F" w:rsidRPr="00463E1A" w:rsidRDefault="00F23ADA" w:rsidP="009F094E">
      <w:pPr>
        <w:pStyle w:val="Default"/>
        <w:rPr>
          <w:rStyle w:val="SubtleReference"/>
          <w:rFonts w:ascii="Times New Roman" w:hAnsi="Times New Roman" w:cs="Times New Roman"/>
          <w:szCs w:val="22"/>
        </w:rPr>
      </w:pPr>
      <w:r w:rsidRPr="00463E1A">
        <w:rPr>
          <w:rFonts w:ascii="Times New Roman" w:hAnsi="Times New Roman" w:cs="Times New Roman"/>
          <w:b w:val="0"/>
          <w:bCs/>
          <w:sz w:val="22"/>
          <w:szCs w:val="22"/>
        </w:rPr>
        <w:t xml:space="preserve">Oprávněnost vykázání </w:t>
      </w:r>
      <w:r w:rsidR="00CB3174" w:rsidRPr="00463E1A">
        <w:rPr>
          <w:rFonts w:ascii="Times New Roman" w:hAnsi="Times New Roman" w:cs="Times New Roman"/>
          <w:b w:val="0"/>
          <w:bCs/>
          <w:sz w:val="22"/>
          <w:szCs w:val="22"/>
        </w:rPr>
        <w:t xml:space="preserve">hodnoty </w:t>
      </w:r>
      <w:r w:rsidRPr="00463E1A">
        <w:rPr>
          <w:rFonts w:ascii="Times New Roman" w:hAnsi="Times New Roman" w:cs="Times New Roman"/>
          <w:b w:val="0"/>
          <w:bCs/>
          <w:sz w:val="22"/>
          <w:szCs w:val="22"/>
        </w:rPr>
        <w:t xml:space="preserve">NTRQ se </w:t>
      </w:r>
      <w:r w:rsidR="00CB3174" w:rsidRPr="00463E1A">
        <w:rPr>
          <w:rFonts w:ascii="Times New Roman" w:hAnsi="Times New Roman" w:cs="Times New Roman"/>
          <w:b w:val="0"/>
          <w:bCs/>
          <w:sz w:val="22"/>
          <w:szCs w:val="22"/>
        </w:rPr>
        <w:t>ověřuje</w:t>
      </w:r>
      <w:r w:rsidRPr="00463E1A">
        <w:rPr>
          <w:rFonts w:ascii="Times New Roman" w:hAnsi="Times New Roman" w:cs="Times New Roman"/>
          <w:b w:val="0"/>
          <w:bCs/>
          <w:sz w:val="22"/>
          <w:szCs w:val="22"/>
        </w:rPr>
        <w:t xml:space="preserve"> v rámci </w:t>
      </w:r>
      <w:proofErr w:type="spellStart"/>
      <w:r w:rsidRPr="00463E1A">
        <w:rPr>
          <w:rFonts w:ascii="Times New Roman" w:hAnsi="Times New Roman" w:cs="Times New Roman"/>
          <w:b w:val="0"/>
          <w:bCs/>
          <w:sz w:val="22"/>
          <w:szCs w:val="22"/>
        </w:rPr>
        <w:t>mezivýkazových</w:t>
      </w:r>
      <w:proofErr w:type="spellEnd"/>
      <w:r w:rsidRPr="00463E1A">
        <w:rPr>
          <w:rFonts w:ascii="Times New Roman" w:hAnsi="Times New Roman" w:cs="Times New Roman"/>
          <w:b w:val="0"/>
          <w:bCs/>
          <w:sz w:val="22"/>
          <w:szCs w:val="22"/>
        </w:rPr>
        <w:t xml:space="preserve"> kontrol. Proto je konkrétní konfigurace</w:t>
      </w:r>
      <w:r w:rsidR="00CB3174" w:rsidRPr="00463E1A">
        <w:rPr>
          <w:rFonts w:ascii="Times New Roman" w:hAnsi="Times New Roman" w:cs="Times New Roman"/>
          <w:b w:val="0"/>
          <w:bCs/>
          <w:sz w:val="22"/>
          <w:szCs w:val="22"/>
        </w:rPr>
        <w:t xml:space="preserve"> podmínek </w:t>
      </w:r>
      <w:r w:rsidR="00AD22A4" w:rsidRPr="00463E1A">
        <w:rPr>
          <w:rFonts w:ascii="Times New Roman" w:hAnsi="Times New Roman" w:cs="Times New Roman"/>
          <w:b w:val="0"/>
          <w:bCs/>
          <w:sz w:val="22"/>
          <w:szCs w:val="22"/>
        </w:rPr>
        <w:t xml:space="preserve">CD0020 až CD0070 </w:t>
      </w:r>
      <w:r w:rsidRPr="00463E1A">
        <w:rPr>
          <w:rFonts w:ascii="Times New Roman" w:hAnsi="Times New Roman" w:cs="Times New Roman"/>
          <w:b w:val="0"/>
          <w:bCs/>
          <w:sz w:val="22"/>
          <w:szCs w:val="22"/>
        </w:rPr>
        <w:t>pro jednotlivé atributy uvedena v</w:t>
      </w:r>
      <w:r w:rsidR="004B484F" w:rsidRPr="00463E1A">
        <w:rPr>
          <w:rFonts w:ascii="Times New Roman" w:hAnsi="Times New Roman" w:cs="Times New Roman"/>
          <w:b w:val="0"/>
          <w:bCs/>
          <w:sz w:val="22"/>
          <w:szCs w:val="22"/>
        </w:rPr>
        <w:t xml:space="preserve"> souboru </w:t>
      </w:r>
      <w:r w:rsidR="004B484F" w:rsidRPr="00463E1A">
        <w:rPr>
          <w:rStyle w:val="SubtleReference"/>
          <w:rFonts w:ascii="Times New Roman" w:hAnsi="Times New Roman" w:cs="Times New Roman"/>
          <w:szCs w:val="22"/>
        </w:rPr>
        <w:fldChar w:fldCharType="begin"/>
      </w:r>
      <w:r w:rsidR="004B484F" w:rsidRPr="00463E1A">
        <w:rPr>
          <w:rStyle w:val="SubtleReference"/>
          <w:rFonts w:ascii="Times New Roman" w:hAnsi="Times New Roman" w:cs="Times New Roman"/>
          <w:szCs w:val="22"/>
        </w:rPr>
        <w:instrText xml:space="preserve"> REF _Ref270180 \h  \* MERGEFORMAT </w:instrText>
      </w:r>
      <w:r w:rsidR="004B484F" w:rsidRPr="00463E1A">
        <w:rPr>
          <w:rStyle w:val="SubtleReference"/>
          <w:rFonts w:ascii="Times New Roman" w:hAnsi="Times New Roman" w:cs="Times New Roman"/>
          <w:szCs w:val="22"/>
        </w:rPr>
      </w:r>
      <w:r w:rsidR="004B484F" w:rsidRPr="00463E1A">
        <w:rPr>
          <w:rStyle w:val="SubtleReference"/>
          <w:rFonts w:ascii="Times New Roman" w:hAnsi="Times New Roman" w:cs="Times New Roman"/>
          <w:szCs w:val="22"/>
        </w:rPr>
        <w:fldChar w:fldCharType="separate"/>
      </w:r>
      <w:r w:rsidR="00463E1A" w:rsidRPr="00463E1A">
        <w:rPr>
          <w:rStyle w:val="SubtleReference"/>
          <w:rFonts w:ascii="Times New Roman" w:hAnsi="Times New Roman"/>
        </w:rPr>
        <w:t>Kontroly ČNB</w:t>
      </w:r>
      <w:r w:rsidR="004B484F" w:rsidRPr="00463E1A">
        <w:rPr>
          <w:rStyle w:val="SubtleReference"/>
          <w:rFonts w:ascii="Times New Roman" w:hAnsi="Times New Roman" w:cs="Times New Roman"/>
          <w:szCs w:val="22"/>
        </w:rPr>
        <w:fldChar w:fldCharType="end"/>
      </w:r>
    </w:p>
    <w:p w:rsidR="00F23ADA" w:rsidRPr="00463E1A" w:rsidRDefault="00F23ADA" w:rsidP="009F094E">
      <w:pPr>
        <w:pStyle w:val="Default"/>
        <w:rPr>
          <w:rFonts w:ascii="Times New Roman" w:hAnsi="Times New Roman" w:cs="Times New Roman"/>
          <w:b w:val="0"/>
          <w:bCs/>
          <w:sz w:val="22"/>
          <w:szCs w:val="22"/>
        </w:rPr>
      </w:pPr>
      <w:r w:rsidRPr="00463E1A">
        <w:rPr>
          <w:rFonts w:ascii="Times New Roman" w:hAnsi="Times New Roman" w:cs="Times New Roman"/>
          <w:b w:val="0"/>
          <w:bCs/>
          <w:sz w:val="22"/>
          <w:szCs w:val="22"/>
        </w:rPr>
        <w:t>publikovaných na stránkách ČNB na listu ‚</w:t>
      </w:r>
      <w:proofErr w:type="spellStart"/>
      <w:r w:rsidRPr="00463E1A">
        <w:rPr>
          <w:rFonts w:ascii="Times New Roman" w:hAnsi="Times New Roman" w:cs="Times New Roman"/>
          <w:b w:val="0"/>
          <w:bCs/>
          <w:sz w:val="22"/>
          <w:szCs w:val="22"/>
        </w:rPr>
        <w:t>Completeness_Atributes</w:t>
      </w:r>
      <w:proofErr w:type="spellEnd"/>
      <w:r w:rsidRPr="00463E1A">
        <w:rPr>
          <w:rFonts w:ascii="Times New Roman" w:hAnsi="Times New Roman" w:cs="Times New Roman"/>
          <w:b w:val="0"/>
          <w:bCs/>
          <w:sz w:val="22"/>
          <w:szCs w:val="22"/>
        </w:rPr>
        <w:t>’</w:t>
      </w:r>
      <w:r w:rsidR="00AD22A4" w:rsidRPr="00463E1A">
        <w:rPr>
          <w:rFonts w:ascii="Times New Roman" w:hAnsi="Times New Roman" w:cs="Times New Roman"/>
          <w:b w:val="0"/>
          <w:bCs/>
          <w:sz w:val="22"/>
          <w:szCs w:val="22"/>
        </w:rPr>
        <w:t>. O</w:t>
      </w:r>
      <w:r w:rsidR="00CB3174" w:rsidRPr="00463E1A">
        <w:rPr>
          <w:rFonts w:ascii="Times New Roman" w:hAnsi="Times New Roman" w:cs="Times New Roman"/>
          <w:b w:val="0"/>
          <w:bCs/>
          <w:sz w:val="22"/>
          <w:szCs w:val="22"/>
        </w:rPr>
        <w:t xml:space="preserve"> tom, zda je podmínka na atribut uplatnitelná, dává informaci kódování:</w:t>
      </w:r>
    </w:p>
    <w:p w:rsidR="00CB3174" w:rsidRPr="00463E1A" w:rsidRDefault="00CB3174" w:rsidP="00CB3174">
      <w:pPr>
        <w:pStyle w:val="Default"/>
        <w:numPr>
          <w:ilvl w:val="0"/>
          <w:numId w:val="19"/>
        </w:numPr>
        <w:rPr>
          <w:rFonts w:ascii="Times New Roman" w:hAnsi="Times New Roman" w:cs="Times New Roman"/>
          <w:b w:val="0"/>
          <w:bCs/>
          <w:sz w:val="22"/>
          <w:szCs w:val="22"/>
        </w:rPr>
      </w:pPr>
      <w:r w:rsidRPr="00463E1A">
        <w:rPr>
          <w:rFonts w:ascii="Times New Roman" w:hAnsi="Times New Roman" w:cs="Times New Roman"/>
          <w:b w:val="0"/>
          <w:bCs/>
          <w:sz w:val="22"/>
          <w:szCs w:val="22"/>
        </w:rPr>
        <w:t>Y – atribut je vyžadován ECB, plnění hodnotou NTRQ není povoleno ze strany ECB</w:t>
      </w:r>
    </w:p>
    <w:p w:rsidR="00CB3174" w:rsidRPr="00463E1A" w:rsidRDefault="00CB3174" w:rsidP="00CB3174">
      <w:pPr>
        <w:pStyle w:val="Default"/>
        <w:numPr>
          <w:ilvl w:val="0"/>
          <w:numId w:val="19"/>
        </w:numPr>
        <w:rPr>
          <w:rFonts w:ascii="Times New Roman" w:hAnsi="Times New Roman" w:cs="Times New Roman"/>
          <w:b w:val="0"/>
          <w:bCs/>
          <w:sz w:val="22"/>
          <w:szCs w:val="22"/>
        </w:rPr>
      </w:pPr>
      <w:r w:rsidRPr="00463E1A">
        <w:rPr>
          <w:rFonts w:ascii="Times New Roman" w:hAnsi="Times New Roman" w:cs="Times New Roman"/>
          <w:b w:val="0"/>
          <w:bCs/>
          <w:sz w:val="22"/>
          <w:szCs w:val="22"/>
        </w:rPr>
        <w:t>NY – atribut je vyžadován ČNB, plnění hodnotou NTRQ není povoleno ze strany ČNB</w:t>
      </w:r>
    </w:p>
    <w:p w:rsidR="00CB3174" w:rsidRPr="00463E1A" w:rsidRDefault="00CB3174" w:rsidP="00CB3174">
      <w:pPr>
        <w:pStyle w:val="Default"/>
        <w:numPr>
          <w:ilvl w:val="0"/>
          <w:numId w:val="19"/>
        </w:numPr>
        <w:rPr>
          <w:rFonts w:ascii="Times New Roman" w:hAnsi="Times New Roman" w:cs="Times New Roman"/>
          <w:b w:val="0"/>
          <w:bCs/>
          <w:sz w:val="22"/>
          <w:szCs w:val="22"/>
        </w:rPr>
      </w:pPr>
      <w:r w:rsidRPr="00463E1A">
        <w:rPr>
          <w:rFonts w:ascii="Times New Roman" w:hAnsi="Times New Roman" w:cs="Times New Roman"/>
          <w:b w:val="0"/>
          <w:bCs/>
          <w:sz w:val="22"/>
          <w:szCs w:val="22"/>
        </w:rPr>
        <w:t>X – atribut není vyžadován, plnění hodnotou NTRQ je povoleno ze strany ECB</w:t>
      </w:r>
    </w:p>
    <w:p w:rsidR="004B64E3" w:rsidRPr="00463E1A" w:rsidRDefault="00CB3174" w:rsidP="004B64E3">
      <w:pPr>
        <w:pStyle w:val="Default"/>
        <w:numPr>
          <w:ilvl w:val="0"/>
          <w:numId w:val="19"/>
        </w:numPr>
        <w:rPr>
          <w:rFonts w:ascii="Times New Roman" w:hAnsi="Times New Roman" w:cs="Times New Roman"/>
          <w:b w:val="0"/>
          <w:bCs/>
          <w:sz w:val="22"/>
          <w:szCs w:val="22"/>
        </w:rPr>
      </w:pPr>
      <w:r w:rsidRPr="00463E1A">
        <w:rPr>
          <w:rFonts w:ascii="Times New Roman" w:hAnsi="Times New Roman" w:cs="Times New Roman"/>
          <w:b w:val="0"/>
          <w:sz w:val="22"/>
          <w:szCs w:val="22"/>
        </w:rPr>
        <w:t>NX – atribut není vyžadován, plnění hodnotou NTRQ je povoleno, rozhodnutí je v pravomoci  ČNB</w:t>
      </w:r>
      <w:r w:rsidR="004B64E3" w:rsidRPr="00463E1A">
        <w:rPr>
          <w:rFonts w:ascii="Times New Roman" w:hAnsi="Times New Roman" w:cs="Times New Roman"/>
          <w:b w:val="0"/>
          <w:sz w:val="22"/>
          <w:szCs w:val="22"/>
        </w:rPr>
        <w:t xml:space="preserve"> </w:t>
      </w:r>
      <w:bookmarkStart w:id="9" w:name="_Ref536705940"/>
      <w:r w:rsidR="004B64E3" w:rsidRPr="00463E1A">
        <w:rPr>
          <w:rFonts w:ascii="Times New Roman" w:hAnsi="Times New Roman" w:cs="Times New Roman"/>
          <w:b w:val="0"/>
          <w:sz w:val="22"/>
          <w:szCs w:val="22"/>
        </w:rPr>
        <w:t xml:space="preserve"> </w:t>
      </w:r>
    </w:p>
    <w:p w:rsidR="004B64E3" w:rsidRPr="00463E1A" w:rsidRDefault="004B64E3" w:rsidP="004B64E3">
      <w:pPr>
        <w:pStyle w:val="Default"/>
        <w:ind w:left="720"/>
        <w:rPr>
          <w:rStyle w:val="SubtleReference"/>
          <w:rFonts w:ascii="Times New Roman" w:hAnsi="Times New Roman" w:cs="Times New Roman"/>
          <w:szCs w:val="22"/>
        </w:rPr>
      </w:pPr>
      <w:r w:rsidRPr="00463E1A">
        <w:rPr>
          <w:rStyle w:val="SubtleReference"/>
          <w:rFonts w:ascii="Times New Roman" w:hAnsi="Times New Roman" w:cs="Times New Roman"/>
          <w:szCs w:val="22"/>
        </w:rPr>
        <w:t xml:space="preserve">(viz </w:t>
      </w:r>
      <w:r w:rsidRPr="00463E1A">
        <w:rPr>
          <w:rStyle w:val="SubtleReference"/>
          <w:rFonts w:ascii="Times New Roman" w:hAnsi="Times New Roman" w:cs="Times New Roman"/>
          <w:szCs w:val="22"/>
        </w:rPr>
        <w:fldChar w:fldCharType="begin"/>
      </w:r>
      <w:r w:rsidRPr="00463E1A">
        <w:rPr>
          <w:rStyle w:val="SubtleReference"/>
          <w:rFonts w:ascii="Times New Roman" w:hAnsi="Times New Roman" w:cs="Times New Roman"/>
          <w:szCs w:val="22"/>
        </w:rPr>
        <w:instrText xml:space="preserve"> REF _Ref178869 \h  \* MERGEFORMAT </w:instrText>
      </w:r>
      <w:r w:rsidRPr="00463E1A">
        <w:rPr>
          <w:rStyle w:val="SubtleReference"/>
          <w:rFonts w:ascii="Times New Roman" w:hAnsi="Times New Roman" w:cs="Times New Roman"/>
          <w:szCs w:val="22"/>
        </w:rPr>
      </w:r>
      <w:r w:rsidRPr="00463E1A">
        <w:rPr>
          <w:rStyle w:val="SubtleReference"/>
          <w:rFonts w:ascii="Times New Roman" w:hAnsi="Times New Roman" w:cs="Times New Roman"/>
          <w:szCs w:val="22"/>
        </w:rPr>
        <w:fldChar w:fldCharType="separate"/>
      </w:r>
      <w:r w:rsidR="00463E1A" w:rsidRPr="00463E1A">
        <w:rPr>
          <w:rStyle w:val="SubtleReference"/>
          <w:rFonts w:ascii="Times New Roman" w:hAnsi="Times New Roman"/>
        </w:rPr>
        <w:t xml:space="preserve">Obrázek </w:t>
      </w:r>
      <w:r w:rsidR="00463E1A" w:rsidRPr="00463E1A">
        <w:rPr>
          <w:rStyle w:val="SubtleReference"/>
          <w:rFonts w:ascii="Times New Roman" w:hAnsi="Times New Roman" w:cs="Times New Roman"/>
        </w:rPr>
        <w:t>1</w:t>
      </w:r>
      <w:r w:rsidR="00463E1A" w:rsidRPr="00463E1A">
        <w:rPr>
          <w:rStyle w:val="SubtleReference"/>
          <w:rFonts w:ascii="Times New Roman" w:hAnsi="Times New Roman"/>
        </w:rPr>
        <w:t>: Pravidla plnění atributu hodnotou NTRQ</w:t>
      </w:r>
      <w:r w:rsidRPr="00463E1A">
        <w:rPr>
          <w:rStyle w:val="SubtleReference"/>
          <w:rFonts w:ascii="Times New Roman" w:hAnsi="Times New Roman" w:cs="Times New Roman"/>
          <w:szCs w:val="22"/>
        </w:rPr>
        <w:fldChar w:fldCharType="end"/>
      </w:r>
      <w:r w:rsidRPr="00463E1A">
        <w:rPr>
          <w:rStyle w:val="SubtleReference"/>
          <w:rFonts w:ascii="Times New Roman" w:hAnsi="Times New Roman" w:cs="Times New Roman"/>
          <w:szCs w:val="22"/>
        </w:rPr>
        <w:t>).</w:t>
      </w:r>
    </w:p>
    <w:p w:rsidR="004B64E3" w:rsidRPr="00463E1A" w:rsidRDefault="004B64E3" w:rsidP="004B64E3">
      <w:pPr>
        <w:pStyle w:val="Default"/>
        <w:ind w:left="720"/>
        <w:rPr>
          <w:rFonts w:ascii="Times New Roman" w:hAnsi="Times New Roman" w:cs="Times New Roman"/>
          <w:b w:val="0"/>
          <w:sz w:val="22"/>
          <w:szCs w:val="22"/>
        </w:rPr>
      </w:pPr>
    </w:p>
    <w:p w:rsidR="00F23ADA" w:rsidRPr="00463E1A" w:rsidRDefault="00F23ADA" w:rsidP="00F23ADA">
      <w:pPr>
        <w:pStyle w:val="Caption"/>
        <w:rPr>
          <w:rFonts w:ascii="Times New Roman" w:hAnsi="Times New Roman"/>
          <w:szCs w:val="22"/>
        </w:rPr>
      </w:pPr>
      <w:r w:rsidRPr="00463E1A">
        <w:rPr>
          <w:rFonts w:ascii="Times New Roman" w:hAnsi="Times New Roman"/>
          <w:szCs w:val="22"/>
        </w:rPr>
        <w:br w:type="column"/>
      </w:r>
      <w:bookmarkStart w:id="10" w:name="_Ref178869"/>
      <w:r w:rsidRPr="00463E1A">
        <w:rPr>
          <w:rFonts w:ascii="Times New Roman" w:hAnsi="Times New Roman"/>
          <w:szCs w:val="22"/>
        </w:rPr>
        <w:lastRenderedPageBreak/>
        <w:t xml:space="preserve">Obrázek </w:t>
      </w:r>
      <w:r w:rsidRPr="00463E1A">
        <w:rPr>
          <w:rFonts w:ascii="Times New Roman" w:hAnsi="Times New Roman"/>
          <w:szCs w:val="22"/>
        </w:rPr>
        <w:fldChar w:fldCharType="begin"/>
      </w:r>
      <w:r w:rsidRPr="00463E1A">
        <w:rPr>
          <w:rFonts w:ascii="Times New Roman" w:hAnsi="Times New Roman"/>
          <w:szCs w:val="22"/>
        </w:rPr>
        <w:instrText xml:space="preserve"> SEQ Obrázek \* ARABIC </w:instrText>
      </w:r>
      <w:r w:rsidRPr="00463E1A">
        <w:rPr>
          <w:rFonts w:ascii="Times New Roman" w:hAnsi="Times New Roman"/>
          <w:szCs w:val="22"/>
        </w:rPr>
        <w:fldChar w:fldCharType="separate"/>
      </w:r>
      <w:r w:rsidR="00463E1A">
        <w:rPr>
          <w:rFonts w:ascii="Times New Roman" w:hAnsi="Times New Roman"/>
          <w:noProof/>
          <w:szCs w:val="22"/>
        </w:rPr>
        <w:t>1</w:t>
      </w:r>
      <w:r w:rsidRPr="00463E1A">
        <w:rPr>
          <w:rFonts w:ascii="Times New Roman" w:hAnsi="Times New Roman"/>
          <w:szCs w:val="22"/>
        </w:rPr>
        <w:fldChar w:fldCharType="end"/>
      </w:r>
      <w:r w:rsidRPr="00463E1A">
        <w:rPr>
          <w:rFonts w:ascii="Times New Roman" w:hAnsi="Times New Roman"/>
          <w:szCs w:val="22"/>
        </w:rPr>
        <w:t>: Pravidla plnění atributu hodnotou NTRQ</w:t>
      </w:r>
      <w:bookmarkEnd w:id="9"/>
      <w:bookmarkEnd w:id="10"/>
    </w:p>
    <w:tbl>
      <w:tblPr>
        <w:tblStyle w:val="TableGrid"/>
        <w:tblW w:w="0" w:type="auto"/>
        <w:tblLook w:val="04A0" w:firstRow="1" w:lastRow="0" w:firstColumn="1" w:lastColumn="0" w:noHBand="0" w:noVBand="1"/>
      </w:tblPr>
      <w:tblGrid>
        <w:gridCol w:w="9288"/>
      </w:tblGrid>
      <w:tr w:rsidR="00F23ADA" w:rsidRPr="00463E1A" w:rsidTr="00F8773C">
        <w:tc>
          <w:tcPr>
            <w:tcW w:w="9287" w:type="dxa"/>
          </w:tcPr>
          <w:p w:rsidR="00F23ADA" w:rsidRPr="00463E1A" w:rsidRDefault="00F23ADA" w:rsidP="00F8773C">
            <w:pPr>
              <w:pStyle w:val="Caption"/>
              <w:jc w:val="left"/>
              <w:rPr>
                <w:rFonts w:ascii="Times New Roman" w:hAnsi="Times New Roman"/>
                <w:szCs w:val="22"/>
              </w:rPr>
            </w:pPr>
            <w:r w:rsidRPr="00463E1A">
              <w:rPr>
                <w:rFonts w:ascii="Times New Roman" w:hAnsi="Times New Roman"/>
                <w:noProof/>
                <w:szCs w:val="22"/>
                <w:lang w:eastAsia="cs-CZ"/>
              </w:rPr>
              <w:drawing>
                <wp:anchor distT="0" distB="0" distL="114300" distR="114300" simplePos="0" relativeHeight="251660288" behindDoc="0" locked="0" layoutInCell="1" allowOverlap="1" wp14:anchorId="1EE23B15" wp14:editId="680165B3">
                  <wp:simplePos x="0" y="0"/>
                  <wp:positionH relativeFrom="column">
                    <wp:posOffset>-19050</wp:posOffset>
                  </wp:positionH>
                  <wp:positionV relativeFrom="paragraph">
                    <wp:posOffset>120650</wp:posOffset>
                  </wp:positionV>
                  <wp:extent cx="5760720" cy="3420110"/>
                  <wp:effectExtent l="0" t="0" r="0" b="889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420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3ADA" w:rsidRPr="00463E1A" w:rsidRDefault="00F23ADA" w:rsidP="00F8773C">
            <w:pPr>
              <w:pStyle w:val="Caption"/>
              <w:jc w:val="left"/>
              <w:rPr>
                <w:rFonts w:ascii="Times New Roman" w:hAnsi="Times New Roman"/>
                <w:szCs w:val="22"/>
              </w:rPr>
            </w:pPr>
            <w:r w:rsidRPr="00463E1A">
              <w:rPr>
                <w:rFonts w:ascii="Times New Roman" w:hAnsi="Times New Roman"/>
                <w:szCs w:val="22"/>
              </w:rPr>
              <w:t xml:space="preserve">Příklad </w:t>
            </w:r>
            <w:r w:rsidRPr="00463E1A">
              <w:rPr>
                <w:rFonts w:ascii="Times New Roman" w:hAnsi="Times New Roman"/>
                <w:szCs w:val="22"/>
              </w:rPr>
              <w:fldChar w:fldCharType="begin"/>
            </w:r>
            <w:r w:rsidRPr="00463E1A">
              <w:rPr>
                <w:rFonts w:ascii="Times New Roman" w:hAnsi="Times New Roman"/>
                <w:szCs w:val="22"/>
              </w:rPr>
              <w:instrText xml:space="preserve"> SEQ Příklad \* ARABIC </w:instrText>
            </w:r>
            <w:r w:rsidRPr="00463E1A">
              <w:rPr>
                <w:rFonts w:ascii="Times New Roman" w:hAnsi="Times New Roman"/>
                <w:szCs w:val="22"/>
              </w:rPr>
              <w:fldChar w:fldCharType="separate"/>
            </w:r>
            <w:r w:rsidR="00463E1A">
              <w:rPr>
                <w:rFonts w:ascii="Times New Roman" w:hAnsi="Times New Roman"/>
                <w:noProof/>
                <w:szCs w:val="22"/>
              </w:rPr>
              <w:t>1</w:t>
            </w:r>
            <w:r w:rsidRPr="00463E1A">
              <w:rPr>
                <w:rFonts w:ascii="Times New Roman" w:hAnsi="Times New Roman"/>
                <w:szCs w:val="22"/>
              </w:rPr>
              <w:fldChar w:fldCharType="end"/>
            </w:r>
            <w:r w:rsidRPr="00463E1A">
              <w:rPr>
                <w:rFonts w:ascii="Times New Roman" w:hAnsi="Times New Roman"/>
                <w:szCs w:val="22"/>
              </w:rPr>
              <w:t>: Rozhodnutí o plnění atributů Nesplacená nominální hodnota, Typ instrumentu a Typ úrokové sazby</w:t>
            </w:r>
            <w:r w:rsidR="00745388" w:rsidRPr="00463E1A">
              <w:rPr>
                <w:rFonts w:ascii="Times New Roman" w:hAnsi="Times New Roman"/>
                <w:szCs w:val="22"/>
              </w:rPr>
              <w:t xml:space="preserve"> pro pohledávky splňující podmínku CD0070</w:t>
            </w:r>
          </w:p>
        </w:tc>
      </w:tr>
      <w:tr w:rsidR="00F23ADA" w:rsidRPr="00463E1A" w:rsidTr="00F8773C">
        <w:tc>
          <w:tcPr>
            <w:tcW w:w="9287" w:type="dxa"/>
          </w:tcPr>
          <w:p w:rsidR="00F23ADA" w:rsidRPr="00463E1A" w:rsidRDefault="00F23ADA" w:rsidP="00F8773C">
            <w:pPr>
              <w:jc w:val="left"/>
              <w:rPr>
                <w:rFonts w:ascii="Times New Roman" w:hAnsi="Times New Roman"/>
                <w:i/>
                <w:szCs w:val="22"/>
              </w:rPr>
            </w:pPr>
            <w:r w:rsidRPr="00463E1A">
              <w:rPr>
                <w:rFonts w:ascii="Times New Roman" w:hAnsi="Times New Roman"/>
                <w:i/>
                <w:szCs w:val="22"/>
              </w:rPr>
              <w:t xml:space="preserve">Ke konci čtvrtletí rozhodujeme pro plně odepsaný instrument </w:t>
            </w:r>
            <w:r w:rsidR="00745388" w:rsidRPr="00463E1A">
              <w:rPr>
                <w:rFonts w:ascii="Times New Roman" w:hAnsi="Times New Roman"/>
                <w:i/>
                <w:szCs w:val="22"/>
              </w:rPr>
              <w:t xml:space="preserve">(podmínka CD0070) </w:t>
            </w:r>
            <w:r w:rsidRPr="00463E1A">
              <w:rPr>
                <w:rFonts w:ascii="Times New Roman" w:hAnsi="Times New Roman"/>
                <w:i/>
                <w:szCs w:val="22"/>
              </w:rPr>
              <w:t>o povinnosti atributy plnit.</w:t>
            </w:r>
          </w:p>
        </w:tc>
      </w:tr>
      <w:tr w:rsidR="00F23ADA" w:rsidRPr="00463E1A" w:rsidTr="00F8773C">
        <w:tc>
          <w:tcPr>
            <w:tcW w:w="9287" w:type="dxa"/>
          </w:tcPr>
          <w:p w:rsidR="00F23ADA" w:rsidRPr="00463E1A" w:rsidRDefault="00F23ADA" w:rsidP="00F8773C">
            <w:pPr>
              <w:jc w:val="left"/>
              <w:rPr>
                <w:rFonts w:ascii="Times New Roman" w:hAnsi="Times New Roman"/>
                <w:b/>
                <w:i/>
                <w:szCs w:val="22"/>
              </w:rPr>
            </w:pPr>
            <w:r w:rsidRPr="00463E1A">
              <w:rPr>
                <w:rFonts w:ascii="Times New Roman" w:hAnsi="Times New Roman"/>
                <w:b/>
                <w:i/>
                <w:szCs w:val="22"/>
              </w:rPr>
              <w:t>Krok 1: Splnění podmínek relevantních pro plně odepsané instrumenty</w:t>
            </w:r>
          </w:p>
          <w:p w:rsidR="00F23ADA" w:rsidRPr="00463E1A" w:rsidRDefault="00F23ADA" w:rsidP="00F8773C">
            <w:pPr>
              <w:jc w:val="left"/>
              <w:rPr>
                <w:rFonts w:ascii="Times New Roman" w:hAnsi="Times New Roman"/>
                <w:i/>
                <w:szCs w:val="22"/>
                <w:lang w:val="en-US"/>
              </w:rPr>
            </w:pPr>
            <w:r w:rsidRPr="00463E1A">
              <w:rPr>
                <w:rFonts w:ascii="Times New Roman" w:hAnsi="Times New Roman"/>
                <w:i/>
                <w:szCs w:val="22"/>
              </w:rPr>
              <w:t xml:space="preserve">Na listu </w:t>
            </w:r>
            <w:proofErr w:type="spellStart"/>
            <w:r w:rsidRPr="00463E1A">
              <w:rPr>
                <w:rFonts w:ascii="Times New Roman" w:hAnsi="Times New Roman"/>
                <w:i/>
                <w:szCs w:val="22"/>
              </w:rPr>
              <w:t>Conditions_Completness</w:t>
            </w:r>
            <w:proofErr w:type="spellEnd"/>
            <w:r w:rsidRPr="00463E1A">
              <w:rPr>
                <w:rFonts w:ascii="Times New Roman" w:hAnsi="Times New Roman"/>
                <w:i/>
                <w:szCs w:val="22"/>
              </w:rPr>
              <w:t xml:space="preserve"> zjistíme kritéria podmínek pro plně odepsané instrumenty. Je konec čtvrtletí a uplatní se podmínka CD0070 - </w:t>
            </w:r>
            <w:r w:rsidRPr="00463E1A">
              <w:rPr>
                <w:rFonts w:ascii="Times New Roman" w:hAnsi="Times New Roman"/>
                <w:i/>
                <w:szCs w:val="22"/>
                <w:lang w:val="en-US"/>
              </w:rPr>
              <w:t xml:space="preserve">Fully derecognized instruments not being serviced for quarter end month (Manual Part II section 3.1.6). </w:t>
            </w:r>
          </w:p>
          <w:p w:rsidR="00F23ADA" w:rsidRPr="00463E1A" w:rsidRDefault="00F23ADA" w:rsidP="00F8773C">
            <w:pPr>
              <w:jc w:val="left"/>
              <w:rPr>
                <w:rFonts w:ascii="Times New Roman" w:hAnsi="Times New Roman"/>
                <w:i/>
                <w:szCs w:val="22"/>
              </w:rPr>
            </w:pPr>
            <w:r w:rsidRPr="00463E1A">
              <w:rPr>
                <w:rFonts w:ascii="Times New Roman" w:hAnsi="Times New Roman"/>
                <w:i/>
                <w:szCs w:val="22"/>
              </w:rPr>
              <w:t>Splňuje-li záznam tuto podmínku, vyhodnotíme možnost plnit jednotlivé atribut</w:t>
            </w:r>
            <w:r w:rsidR="00A42CF9" w:rsidRPr="00463E1A">
              <w:rPr>
                <w:rFonts w:ascii="Times New Roman" w:hAnsi="Times New Roman"/>
                <w:i/>
                <w:szCs w:val="22"/>
              </w:rPr>
              <w:t xml:space="preserve">y </w:t>
            </w:r>
            <w:r w:rsidRPr="00463E1A">
              <w:rPr>
                <w:rFonts w:ascii="Times New Roman" w:hAnsi="Times New Roman"/>
                <w:i/>
                <w:szCs w:val="22"/>
              </w:rPr>
              <w:t xml:space="preserve"> hodnotou NTRQ (Krok 2).</w:t>
            </w:r>
          </w:p>
        </w:tc>
      </w:tr>
      <w:tr w:rsidR="00F23ADA" w:rsidRPr="00463E1A" w:rsidTr="00F8773C">
        <w:tc>
          <w:tcPr>
            <w:tcW w:w="9287" w:type="dxa"/>
          </w:tcPr>
          <w:p w:rsidR="00F23ADA" w:rsidRPr="00463E1A" w:rsidRDefault="00F23ADA" w:rsidP="00F8773C">
            <w:pPr>
              <w:jc w:val="left"/>
              <w:rPr>
                <w:rFonts w:ascii="Times New Roman" w:hAnsi="Times New Roman"/>
                <w:b/>
                <w:i/>
                <w:szCs w:val="22"/>
              </w:rPr>
            </w:pPr>
            <w:r w:rsidRPr="00463E1A">
              <w:rPr>
                <w:rFonts w:ascii="Times New Roman" w:hAnsi="Times New Roman"/>
                <w:b/>
                <w:i/>
                <w:szCs w:val="22"/>
              </w:rPr>
              <w:t>Krok 2: Uplatnitelnost podmínek na atributy</w:t>
            </w:r>
          </w:p>
          <w:p w:rsidR="00F23ADA" w:rsidRPr="00463E1A" w:rsidRDefault="00F23ADA" w:rsidP="00F8773C">
            <w:pPr>
              <w:jc w:val="left"/>
              <w:rPr>
                <w:rFonts w:ascii="Times New Roman" w:hAnsi="Times New Roman"/>
                <w:i/>
                <w:szCs w:val="22"/>
              </w:rPr>
            </w:pPr>
            <w:r w:rsidRPr="00463E1A">
              <w:rPr>
                <w:rFonts w:ascii="Times New Roman" w:hAnsi="Times New Roman"/>
                <w:i/>
                <w:szCs w:val="22"/>
              </w:rPr>
              <w:t xml:space="preserve">Na listu </w:t>
            </w:r>
            <w:proofErr w:type="spellStart"/>
            <w:r w:rsidRPr="00463E1A">
              <w:rPr>
                <w:rFonts w:ascii="Times New Roman" w:hAnsi="Times New Roman"/>
                <w:i/>
                <w:szCs w:val="22"/>
              </w:rPr>
              <w:t>Completness_Atributes</w:t>
            </w:r>
            <w:proofErr w:type="spellEnd"/>
            <w:r w:rsidRPr="00463E1A">
              <w:rPr>
                <w:rFonts w:ascii="Times New Roman" w:hAnsi="Times New Roman"/>
                <w:i/>
                <w:szCs w:val="22"/>
              </w:rPr>
              <w:t xml:space="preserve"> vyhledáme sloupec CD0070 a sledujeme hodnoty pro zkoumané atributy (viz</w:t>
            </w:r>
            <w:r w:rsidR="00A42CF9" w:rsidRPr="00463E1A">
              <w:rPr>
                <w:rStyle w:val="SubtleReference"/>
                <w:rFonts w:ascii="Times New Roman" w:hAnsi="Times New Roman"/>
                <w:szCs w:val="22"/>
              </w:rPr>
              <w:t xml:space="preserve"> </w:t>
            </w:r>
            <w:r w:rsidR="00A42CF9" w:rsidRPr="00463E1A">
              <w:rPr>
                <w:rStyle w:val="SubtleReference"/>
                <w:rFonts w:ascii="Times New Roman" w:hAnsi="Times New Roman"/>
                <w:szCs w:val="22"/>
              </w:rPr>
              <w:fldChar w:fldCharType="begin"/>
            </w:r>
            <w:r w:rsidR="00A42CF9" w:rsidRPr="00463E1A">
              <w:rPr>
                <w:rStyle w:val="SubtleReference"/>
                <w:rFonts w:ascii="Times New Roman" w:hAnsi="Times New Roman"/>
                <w:szCs w:val="22"/>
              </w:rPr>
              <w:instrText xml:space="preserve"> REF _Ref179653 \h  \* MERGEFORMAT </w:instrText>
            </w:r>
            <w:r w:rsidR="00A42CF9" w:rsidRPr="00463E1A">
              <w:rPr>
                <w:rStyle w:val="SubtleReference"/>
                <w:rFonts w:ascii="Times New Roman" w:hAnsi="Times New Roman"/>
                <w:szCs w:val="22"/>
              </w:rPr>
            </w:r>
            <w:r w:rsidR="00A42CF9" w:rsidRPr="00463E1A">
              <w:rPr>
                <w:rStyle w:val="SubtleReference"/>
                <w:rFonts w:ascii="Times New Roman" w:hAnsi="Times New Roman"/>
                <w:szCs w:val="22"/>
              </w:rPr>
              <w:fldChar w:fldCharType="separate"/>
            </w:r>
            <w:r w:rsidR="00463E1A" w:rsidRPr="00463E1A">
              <w:rPr>
                <w:rStyle w:val="SubtleReference"/>
                <w:rFonts w:ascii="Times New Roman" w:hAnsi="Times New Roman"/>
              </w:rPr>
              <w:t>Obrázek 2: Rozhodnutí o plnění atributů hodnotu NTRQ</w:t>
            </w:r>
            <w:r w:rsidR="00A42CF9" w:rsidRPr="00463E1A">
              <w:rPr>
                <w:rStyle w:val="SubtleReference"/>
                <w:rFonts w:ascii="Times New Roman" w:hAnsi="Times New Roman"/>
                <w:szCs w:val="22"/>
              </w:rPr>
              <w:fldChar w:fldCharType="end"/>
            </w:r>
            <w:r w:rsidRPr="00463E1A">
              <w:rPr>
                <w:rFonts w:ascii="Times New Roman" w:hAnsi="Times New Roman"/>
                <w:i/>
                <w:szCs w:val="22"/>
              </w:rPr>
              <w:t>)</w:t>
            </w:r>
          </w:p>
          <w:p w:rsidR="00F23ADA" w:rsidRPr="00463E1A" w:rsidRDefault="00F23ADA" w:rsidP="00F8773C">
            <w:pPr>
              <w:jc w:val="left"/>
              <w:rPr>
                <w:rFonts w:ascii="Times New Roman" w:hAnsi="Times New Roman"/>
                <w:i/>
                <w:szCs w:val="22"/>
              </w:rPr>
            </w:pPr>
            <w:r w:rsidRPr="00463E1A">
              <w:rPr>
                <w:rFonts w:ascii="Times New Roman" w:hAnsi="Times New Roman"/>
                <w:i/>
                <w:szCs w:val="22"/>
              </w:rPr>
              <w:t>Atribut</w:t>
            </w:r>
          </w:p>
          <w:p w:rsidR="00F23ADA" w:rsidRPr="00463E1A" w:rsidRDefault="00F23ADA" w:rsidP="00F8773C">
            <w:pPr>
              <w:pStyle w:val="ListParagraph"/>
              <w:numPr>
                <w:ilvl w:val="0"/>
                <w:numId w:val="14"/>
              </w:numPr>
              <w:jc w:val="left"/>
              <w:rPr>
                <w:rFonts w:ascii="Times New Roman" w:hAnsi="Times New Roman"/>
                <w:i/>
                <w:szCs w:val="22"/>
              </w:rPr>
            </w:pPr>
            <w:r w:rsidRPr="00463E1A">
              <w:rPr>
                <w:rFonts w:ascii="Times New Roman" w:hAnsi="Times New Roman"/>
                <w:i/>
                <w:szCs w:val="22"/>
              </w:rPr>
              <w:t xml:space="preserve">Nesplacená nominální hodnota je povinný, hodnota NTRQ je ze strany ECB zakázána. Podle </w:t>
            </w:r>
            <w:r w:rsidRPr="00463E1A">
              <w:rPr>
                <w:rStyle w:val="SubtleReference"/>
                <w:rFonts w:ascii="Times New Roman" w:hAnsi="Times New Roman"/>
                <w:szCs w:val="22"/>
              </w:rPr>
              <w:fldChar w:fldCharType="begin"/>
            </w:r>
            <w:r w:rsidRPr="00463E1A">
              <w:rPr>
                <w:rStyle w:val="SubtleReference"/>
                <w:rFonts w:ascii="Times New Roman" w:hAnsi="Times New Roman"/>
                <w:szCs w:val="22"/>
              </w:rPr>
              <w:instrText xml:space="preserve"> REF _Ref536700808 \h  \* MERGEFORMAT </w:instrText>
            </w:r>
            <w:r w:rsidRPr="00463E1A">
              <w:rPr>
                <w:rStyle w:val="SubtleReference"/>
                <w:rFonts w:ascii="Times New Roman" w:hAnsi="Times New Roman"/>
                <w:szCs w:val="22"/>
              </w:rPr>
            </w:r>
            <w:r w:rsidRPr="00463E1A">
              <w:rPr>
                <w:rStyle w:val="SubtleReference"/>
                <w:rFonts w:ascii="Times New Roman" w:hAnsi="Times New Roman"/>
                <w:szCs w:val="22"/>
              </w:rPr>
              <w:fldChar w:fldCharType="separate"/>
            </w:r>
            <w:r w:rsidR="00463E1A" w:rsidRPr="00463E1A">
              <w:rPr>
                <w:rStyle w:val="SubtleReference"/>
                <w:rFonts w:ascii="Times New Roman" w:hAnsi="Times New Roman"/>
              </w:rPr>
              <w:t>Tabulka 1: Charakteristiky plně odepsaného instrumentu</w:t>
            </w:r>
            <w:r w:rsidRPr="00463E1A">
              <w:rPr>
                <w:rStyle w:val="SubtleReference"/>
                <w:rFonts w:ascii="Times New Roman" w:hAnsi="Times New Roman"/>
                <w:szCs w:val="22"/>
              </w:rPr>
              <w:fldChar w:fldCharType="end"/>
            </w:r>
            <w:r w:rsidRPr="00463E1A">
              <w:rPr>
                <w:rFonts w:ascii="Times New Roman" w:hAnsi="Times New Roman"/>
                <w:i/>
                <w:szCs w:val="22"/>
              </w:rPr>
              <w:t xml:space="preserve"> musí mít hodnotu 0.</w:t>
            </w:r>
          </w:p>
          <w:p w:rsidR="00F23ADA" w:rsidRPr="00463E1A" w:rsidRDefault="00F23ADA" w:rsidP="00F8773C">
            <w:pPr>
              <w:pStyle w:val="ListParagraph"/>
              <w:numPr>
                <w:ilvl w:val="0"/>
                <w:numId w:val="14"/>
              </w:numPr>
              <w:jc w:val="left"/>
              <w:rPr>
                <w:rFonts w:ascii="Times New Roman" w:hAnsi="Times New Roman"/>
                <w:i/>
                <w:szCs w:val="22"/>
              </w:rPr>
            </w:pPr>
            <w:r w:rsidRPr="00463E1A">
              <w:rPr>
                <w:rFonts w:ascii="Times New Roman" w:hAnsi="Times New Roman"/>
                <w:i/>
                <w:szCs w:val="22"/>
              </w:rPr>
              <w:t xml:space="preserve"> Typ instrumentu je povinný, hodnota NTRQ je ze strany ČNB zakázána.</w:t>
            </w:r>
          </w:p>
          <w:p w:rsidR="00F23ADA" w:rsidRPr="00463E1A" w:rsidRDefault="00F23ADA" w:rsidP="00F8773C">
            <w:pPr>
              <w:pStyle w:val="ListParagraph"/>
              <w:numPr>
                <w:ilvl w:val="0"/>
                <w:numId w:val="14"/>
              </w:numPr>
              <w:jc w:val="left"/>
              <w:rPr>
                <w:rFonts w:ascii="Times New Roman" w:hAnsi="Times New Roman"/>
                <w:i/>
                <w:szCs w:val="22"/>
              </w:rPr>
            </w:pPr>
            <w:r w:rsidRPr="00463E1A">
              <w:rPr>
                <w:rFonts w:ascii="Times New Roman" w:hAnsi="Times New Roman"/>
                <w:i/>
                <w:szCs w:val="22"/>
              </w:rPr>
              <w:t xml:space="preserve"> Typ úrokové sazby je nepovinný, hodnota NTRQ je povolena.</w:t>
            </w:r>
          </w:p>
          <w:p w:rsidR="00F23ADA" w:rsidRPr="00463E1A" w:rsidRDefault="00F23ADA" w:rsidP="00F8773C">
            <w:pPr>
              <w:rPr>
                <w:rFonts w:ascii="Times New Roman" w:hAnsi="Times New Roman"/>
                <w:szCs w:val="22"/>
              </w:rPr>
            </w:pPr>
            <w:r w:rsidRPr="00463E1A">
              <w:rPr>
                <w:rFonts w:ascii="Times New Roman" w:hAnsi="Times New Roman"/>
                <w:noProof/>
                <w:szCs w:val="22"/>
                <w:lang w:eastAsia="cs-CZ"/>
              </w:rPr>
              <w:lastRenderedPageBreak/>
              <w:drawing>
                <wp:anchor distT="0" distB="0" distL="114300" distR="114300" simplePos="0" relativeHeight="251659264" behindDoc="0" locked="0" layoutInCell="1" allowOverlap="1" wp14:anchorId="18A77266" wp14:editId="6ADC7BE2">
                  <wp:simplePos x="0" y="0"/>
                  <wp:positionH relativeFrom="column">
                    <wp:posOffset>220980</wp:posOffset>
                  </wp:positionH>
                  <wp:positionV relativeFrom="paragraph">
                    <wp:posOffset>476885</wp:posOffset>
                  </wp:positionV>
                  <wp:extent cx="5760085" cy="17856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760085" cy="1785620"/>
                          </a:xfrm>
                          <a:prstGeom prst="rect">
                            <a:avLst/>
                          </a:prstGeom>
                        </pic:spPr>
                      </pic:pic>
                    </a:graphicData>
                  </a:graphic>
                  <wp14:sizeRelH relativeFrom="page">
                    <wp14:pctWidth>0</wp14:pctWidth>
                  </wp14:sizeRelH>
                  <wp14:sizeRelV relativeFrom="page">
                    <wp14:pctHeight>0</wp14:pctHeight>
                  </wp14:sizeRelV>
                </wp:anchor>
              </w:drawing>
            </w:r>
          </w:p>
          <w:p w:rsidR="00F23ADA" w:rsidRPr="00463E1A" w:rsidRDefault="00F23ADA" w:rsidP="00A42CF9">
            <w:pPr>
              <w:pStyle w:val="Caption"/>
              <w:rPr>
                <w:rFonts w:ascii="Times New Roman" w:hAnsi="Times New Roman"/>
                <w:szCs w:val="22"/>
              </w:rPr>
            </w:pPr>
            <w:bookmarkStart w:id="11" w:name="_Ref536701235"/>
            <w:bookmarkStart w:id="12" w:name="_Ref179653"/>
            <w:r w:rsidRPr="00463E1A">
              <w:rPr>
                <w:rFonts w:ascii="Times New Roman" w:hAnsi="Times New Roman"/>
                <w:szCs w:val="22"/>
              </w:rPr>
              <w:t xml:space="preserve">Obrázek </w:t>
            </w:r>
            <w:r w:rsidRPr="00463E1A">
              <w:rPr>
                <w:rFonts w:ascii="Times New Roman" w:hAnsi="Times New Roman"/>
                <w:szCs w:val="22"/>
              </w:rPr>
              <w:fldChar w:fldCharType="begin"/>
            </w:r>
            <w:r w:rsidRPr="00463E1A">
              <w:rPr>
                <w:rFonts w:ascii="Times New Roman" w:hAnsi="Times New Roman"/>
                <w:szCs w:val="22"/>
              </w:rPr>
              <w:instrText xml:space="preserve"> SEQ Obrázek \* ARABIC </w:instrText>
            </w:r>
            <w:r w:rsidRPr="00463E1A">
              <w:rPr>
                <w:rFonts w:ascii="Times New Roman" w:hAnsi="Times New Roman"/>
                <w:szCs w:val="22"/>
              </w:rPr>
              <w:fldChar w:fldCharType="separate"/>
            </w:r>
            <w:r w:rsidR="00463E1A">
              <w:rPr>
                <w:rFonts w:ascii="Times New Roman" w:hAnsi="Times New Roman"/>
                <w:noProof/>
                <w:szCs w:val="22"/>
              </w:rPr>
              <w:t>2</w:t>
            </w:r>
            <w:r w:rsidRPr="00463E1A">
              <w:rPr>
                <w:rFonts w:ascii="Times New Roman" w:hAnsi="Times New Roman"/>
                <w:szCs w:val="22"/>
              </w:rPr>
              <w:fldChar w:fldCharType="end"/>
            </w:r>
            <w:r w:rsidRPr="00463E1A">
              <w:rPr>
                <w:rFonts w:ascii="Times New Roman" w:hAnsi="Times New Roman"/>
                <w:szCs w:val="22"/>
              </w:rPr>
              <w:t xml:space="preserve">: </w:t>
            </w:r>
            <w:bookmarkEnd w:id="11"/>
            <w:r w:rsidR="00A42CF9" w:rsidRPr="00463E1A">
              <w:rPr>
                <w:rFonts w:ascii="Times New Roman" w:hAnsi="Times New Roman"/>
                <w:szCs w:val="22"/>
              </w:rPr>
              <w:t>Rozhodnutí o plnění atributů hodnotu NTRQ</w:t>
            </w:r>
            <w:bookmarkEnd w:id="12"/>
          </w:p>
          <w:p w:rsidR="00F23ADA" w:rsidRPr="00463E1A" w:rsidRDefault="00F23ADA" w:rsidP="00F8773C">
            <w:pPr>
              <w:jc w:val="left"/>
              <w:rPr>
                <w:rFonts w:ascii="Times New Roman" w:hAnsi="Times New Roman"/>
                <w:szCs w:val="22"/>
              </w:rPr>
            </w:pPr>
          </w:p>
        </w:tc>
      </w:tr>
    </w:tbl>
    <w:p w:rsidR="00A03367" w:rsidRPr="00463E1A" w:rsidRDefault="00A03367" w:rsidP="009F094E">
      <w:pPr>
        <w:pStyle w:val="Default"/>
        <w:rPr>
          <w:rFonts w:ascii="Times New Roman" w:hAnsi="Times New Roman" w:cs="Times New Roman"/>
          <w:b w:val="0"/>
          <w:bCs/>
          <w:sz w:val="22"/>
          <w:szCs w:val="22"/>
        </w:rPr>
      </w:pPr>
    </w:p>
    <w:p w:rsidR="009F094E" w:rsidRPr="00463E1A" w:rsidRDefault="00FD1152" w:rsidP="00FD1152">
      <w:pPr>
        <w:pStyle w:val="Heading1"/>
        <w:rPr>
          <w:rFonts w:ascii="Times New Roman" w:hAnsi="Times New Roman"/>
        </w:rPr>
      </w:pPr>
      <w:r w:rsidRPr="00463E1A">
        <w:rPr>
          <w:rFonts w:ascii="Times New Roman" w:hAnsi="Times New Roman"/>
          <w:b w:val="0"/>
          <w:bCs/>
        </w:rPr>
        <w:br w:type="column"/>
      </w:r>
      <w:bookmarkStart w:id="13" w:name="_Ref187785"/>
      <w:bookmarkStart w:id="14" w:name="_Ref187794"/>
      <w:bookmarkStart w:id="15" w:name="_Ref187812"/>
      <w:bookmarkStart w:id="16" w:name="_Ref187813"/>
      <w:bookmarkStart w:id="17" w:name="_Ref187836"/>
      <w:bookmarkStart w:id="18" w:name="_Toc270679"/>
      <w:bookmarkStart w:id="19" w:name="_Toc769527"/>
      <w:r w:rsidR="007144C8" w:rsidRPr="00463E1A">
        <w:rPr>
          <w:rFonts w:ascii="Times New Roman" w:hAnsi="Times New Roman"/>
        </w:rPr>
        <w:lastRenderedPageBreak/>
        <w:t>Nepovolené debety</w:t>
      </w:r>
      <w:bookmarkEnd w:id="13"/>
      <w:bookmarkEnd w:id="14"/>
      <w:bookmarkEnd w:id="15"/>
      <w:bookmarkEnd w:id="16"/>
      <w:bookmarkEnd w:id="17"/>
      <w:bookmarkEnd w:id="18"/>
      <w:bookmarkEnd w:id="19"/>
    </w:p>
    <w:p w:rsidR="007144C8" w:rsidRPr="00463E1A" w:rsidRDefault="007144C8" w:rsidP="00956626">
      <w:pPr>
        <w:pStyle w:val="Default"/>
        <w:rPr>
          <w:rFonts w:ascii="Times New Roman" w:hAnsi="Times New Roman" w:cs="Times New Roman"/>
          <w:b w:val="0"/>
          <w:sz w:val="22"/>
          <w:szCs w:val="22"/>
        </w:rPr>
      </w:pPr>
    </w:p>
    <w:p w:rsidR="00F25195" w:rsidRPr="00463E1A" w:rsidRDefault="007144C8" w:rsidP="00F25195">
      <w:pPr>
        <w:pStyle w:val="Default"/>
        <w:rPr>
          <w:rFonts w:ascii="Times New Roman" w:hAnsi="Times New Roman" w:cs="Times New Roman"/>
          <w:b w:val="0"/>
          <w:sz w:val="22"/>
          <w:szCs w:val="22"/>
        </w:rPr>
      </w:pPr>
      <w:r w:rsidRPr="00463E1A">
        <w:rPr>
          <w:rFonts w:ascii="Times New Roman" w:hAnsi="Times New Roman" w:cs="Times New Roman"/>
          <w:b w:val="0"/>
          <w:sz w:val="22"/>
          <w:szCs w:val="22"/>
        </w:rPr>
        <w:t xml:space="preserve">Pro malé nepovolené debety je ze strany ČNB </w:t>
      </w:r>
      <w:r w:rsidR="00F25195" w:rsidRPr="00463E1A">
        <w:rPr>
          <w:rFonts w:ascii="Times New Roman" w:hAnsi="Times New Roman" w:cs="Times New Roman"/>
          <w:b w:val="0"/>
          <w:sz w:val="22"/>
          <w:szCs w:val="22"/>
        </w:rPr>
        <w:t xml:space="preserve">stanoven práh </w:t>
      </w:r>
      <w:proofErr w:type="spellStart"/>
      <w:r w:rsidR="00F25195" w:rsidRPr="00463E1A">
        <w:rPr>
          <w:rFonts w:ascii="Times New Roman" w:hAnsi="Times New Roman" w:cs="Times New Roman"/>
          <w:b w:val="0"/>
          <w:sz w:val="22"/>
          <w:szCs w:val="22"/>
        </w:rPr>
        <w:t>materiality</w:t>
      </w:r>
      <w:proofErr w:type="spellEnd"/>
      <w:r w:rsidR="00F25195" w:rsidRPr="00463E1A">
        <w:rPr>
          <w:rFonts w:ascii="Times New Roman" w:hAnsi="Times New Roman" w:cs="Times New Roman"/>
          <w:b w:val="0"/>
          <w:sz w:val="22"/>
          <w:szCs w:val="22"/>
        </w:rPr>
        <w:t xml:space="preserve"> na 2 000 CZK a je </w:t>
      </w:r>
      <w:r w:rsidR="001F41C8" w:rsidRPr="00463E1A">
        <w:rPr>
          <w:rFonts w:ascii="Times New Roman" w:hAnsi="Times New Roman" w:cs="Times New Roman"/>
          <w:b w:val="0"/>
          <w:sz w:val="22"/>
          <w:szCs w:val="22"/>
        </w:rPr>
        <w:t xml:space="preserve">snížen rozsah povinného </w:t>
      </w:r>
      <w:r w:rsidR="00F25195" w:rsidRPr="00463E1A">
        <w:rPr>
          <w:rFonts w:ascii="Times New Roman" w:hAnsi="Times New Roman" w:cs="Times New Roman"/>
          <w:b w:val="0"/>
          <w:sz w:val="22"/>
          <w:szCs w:val="22"/>
        </w:rPr>
        <w:t xml:space="preserve">vykazování atributů protistrany (viz </w:t>
      </w:r>
      <w:r w:rsidR="00F25195" w:rsidRPr="00463E1A">
        <w:rPr>
          <w:rStyle w:val="SubtleReference"/>
          <w:rFonts w:ascii="Times New Roman" w:hAnsi="Times New Roman" w:cs="Times New Roman"/>
          <w:szCs w:val="22"/>
        </w:rPr>
        <w:fldChar w:fldCharType="begin"/>
      </w:r>
      <w:r w:rsidR="00F25195" w:rsidRPr="00463E1A">
        <w:rPr>
          <w:rStyle w:val="SubtleReference"/>
          <w:rFonts w:ascii="Times New Roman" w:hAnsi="Times New Roman" w:cs="Times New Roman"/>
          <w:szCs w:val="22"/>
        </w:rPr>
        <w:instrText xml:space="preserve"> REF _Ref186849 \h  \* MERGEFORMAT </w:instrText>
      </w:r>
      <w:r w:rsidR="00F25195" w:rsidRPr="00463E1A">
        <w:rPr>
          <w:rStyle w:val="SubtleReference"/>
          <w:rFonts w:ascii="Times New Roman" w:hAnsi="Times New Roman" w:cs="Times New Roman"/>
          <w:szCs w:val="22"/>
        </w:rPr>
      </w:r>
      <w:r w:rsidR="00F25195" w:rsidRPr="00463E1A">
        <w:rPr>
          <w:rStyle w:val="SubtleReference"/>
          <w:rFonts w:ascii="Times New Roman" w:hAnsi="Times New Roman" w:cs="Times New Roman"/>
          <w:szCs w:val="22"/>
        </w:rPr>
        <w:fldChar w:fldCharType="separate"/>
      </w:r>
      <w:r w:rsidR="00463E1A" w:rsidRPr="00463E1A">
        <w:rPr>
          <w:rStyle w:val="SubtleReference"/>
          <w:rFonts w:ascii="Times New Roman" w:hAnsi="Times New Roman"/>
        </w:rPr>
        <w:t xml:space="preserve">Obrázek </w:t>
      </w:r>
      <w:r w:rsidR="00463E1A" w:rsidRPr="00463E1A">
        <w:rPr>
          <w:rStyle w:val="SubtleReference"/>
          <w:rFonts w:ascii="Times New Roman" w:hAnsi="Times New Roman" w:cs="Times New Roman"/>
        </w:rPr>
        <w:t>3</w:t>
      </w:r>
      <w:r w:rsidR="00463E1A" w:rsidRPr="00463E1A">
        <w:rPr>
          <w:rStyle w:val="SubtleReference"/>
          <w:rFonts w:ascii="Times New Roman" w:hAnsi="Times New Roman"/>
        </w:rPr>
        <w:t>: Vykazování nepovolených debetů</w:t>
      </w:r>
      <w:r w:rsidR="00F25195" w:rsidRPr="00463E1A">
        <w:rPr>
          <w:rStyle w:val="SubtleReference"/>
          <w:rFonts w:ascii="Times New Roman" w:hAnsi="Times New Roman" w:cs="Times New Roman"/>
          <w:szCs w:val="22"/>
        </w:rPr>
        <w:fldChar w:fldCharType="end"/>
      </w:r>
      <w:r w:rsidR="00F25195" w:rsidRPr="00463E1A">
        <w:rPr>
          <w:rStyle w:val="SubtleReference"/>
          <w:rFonts w:ascii="Times New Roman" w:hAnsi="Times New Roman" w:cs="Times New Roman"/>
          <w:szCs w:val="22"/>
        </w:rPr>
        <w:t>)</w:t>
      </w:r>
    </w:p>
    <w:p w:rsidR="00F25195" w:rsidRPr="00463E1A" w:rsidRDefault="00F25195" w:rsidP="00F25195">
      <w:pPr>
        <w:pStyle w:val="Default"/>
        <w:rPr>
          <w:rFonts w:ascii="Times New Roman" w:hAnsi="Times New Roman" w:cs="Times New Roman"/>
          <w:b w:val="0"/>
          <w:sz w:val="22"/>
          <w:szCs w:val="22"/>
        </w:rPr>
      </w:pPr>
    </w:p>
    <w:p w:rsidR="00F25195" w:rsidRPr="00463E1A" w:rsidRDefault="007F3E0D" w:rsidP="00F25195">
      <w:pPr>
        <w:pStyle w:val="Default"/>
        <w:rPr>
          <w:rFonts w:ascii="Times New Roman" w:hAnsi="Times New Roman" w:cs="Times New Roman"/>
          <w:b w:val="0"/>
          <w:sz w:val="22"/>
          <w:szCs w:val="22"/>
        </w:rPr>
      </w:pPr>
      <w:r w:rsidRPr="00463E1A">
        <w:rPr>
          <w:rStyle w:val="SubtleReference"/>
          <w:rFonts w:ascii="Times New Roman" w:hAnsi="Times New Roman" w:cs="Times New Roman"/>
          <w:szCs w:val="22"/>
        </w:rPr>
        <w:fldChar w:fldCharType="begin"/>
      </w:r>
      <w:r w:rsidRPr="00463E1A">
        <w:rPr>
          <w:rStyle w:val="SubtleReference"/>
          <w:rFonts w:ascii="Times New Roman" w:hAnsi="Times New Roman" w:cs="Times New Roman"/>
          <w:szCs w:val="22"/>
        </w:rPr>
        <w:instrText xml:space="preserve"> REF _Ref270337 \h  \* MERGEFORMAT </w:instrText>
      </w:r>
      <w:r w:rsidRPr="00463E1A">
        <w:rPr>
          <w:rStyle w:val="SubtleReference"/>
          <w:rFonts w:ascii="Times New Roman" w:hAnsi="Times New Roman" w:cs="Times New Roman"/>
          <w:szCs w:val="22"/>
        </w:rPr>
      </w:r>
      <w:r w:rsidRPr="00463E1A">
        <w:rPr>
          <w:rStyle w:val="SubtleReference"/>
          <w:rFonts w:ascii="Times New Roman" w:hAnsi="Times New Roman" w:cs="Times New Roman"/>
          <w:szCs w:val="22"/>
        </w:rPr>
        <w:fldChar w:fldCharType="separate"/>
      </w:r>
      <w:r w:rsidR="00463E1A" w:rsidRPr="00463E1A">
        <w:rPr>
          <w:rStyle w:val="SubtleReference"/>
          <w:rFonts w:ascii="Times New Roman" w:hAnsi="Times New Roman"/>
        </w:rPr>
        <w:t>Nároky na sadu referenčních dat v RIAD</w:t>
      </w:r>
      <w:r w:rsidRPr="00463E1A">
        <w:rPr>
          <w:rStyle w:val="SubtleReference"/>
          <w:rFonts w:ascii="Times New Roman" w:hAnsi="Times New Roman" w:cs="Times New Roman"/>
          <w:szCs w:val="22"/>
        </w:rPr>
        <w:fldChar w:fldCharType="end"/>
      </w:r>
      <w:r w:rsidRPr="00463E1A">
        <w:rPr>
          <w:rFonts w:ascii="Times New Roman" w:hAnsi="Times New Roman" w:cs="Times New Roman"/>
          <w:b w:val="0"/>
          <w:sz w:val="22"/>
          <w:szCs w:val="22"/>
        </w:rPr>
        <w:t xml:space="preserve"> </w:t>
      </w:r>
      <w:r w:rsidR="00F25195" w:rsidRPr="00463E1A">
        <w:rPr>
          <w:rFonts w:ascii="Times New Roman" w:hAnsi="Times New Roman" w:cs="Times New Roman"/>
          <w:b w:val="0"/>
          <w:sz w:val="22"/>
          <w:szCs w:val="22"/>
        </w:rPr>
        <w:t xml:space="preserve">jsou publikovány na stránkách </w:t>
      </w:r>
      <w:r w:rsidRPr="00463E1A">
        <w:rPr>
          <w:rFonts w:ascii="Times New Roman" w:hAnsi="Times New Roman" w:cs="Times New Roman"/>
          <w:b w:val="0"/>
          <w:sz w:val="22"/>
          <w:szCs w:val="22"/>
        </w:rPr>
        <w:t>webu ČNB.</w:t>
      </w:r>
    </w:p>
    <w:p w:rsidR="001F41C8" w:rsidRPr="00463E1A" w:rsidRDefault="00F25195" w:rsidP="00F25195">
      <w:pPr>
        <w:pStyle w:val="Caption"/>
        <w:rPr>
          <w:rFonts w:ascii="Times New Roman" w:hAnsi="Times New Roman"/>
          <w:b w:val="0"/>
          <w:szCs w:val="22"/>
        </w:rPr>
      </w:pPr>
      <w:bookmarkStart w:id="20" w:name="_Ref186849"/>
      <w:r w:rsidRPr="00463E1A">
        <w:rPr>
          <w:rFonts w:ascii="Times New Roman" w:hAnsi="Times New Roman"/>
          <w:szCs w:val="22"/>
        </w:rPr>
        <w:t xml:space="preserve">Obrázek </w:t>
      </w:r>
      <w:r w:rsidR="00F5728E" w:rsidRPr="00463E1A">
        <w:rPr>
          <w:rFonts w:ascii="Times New Roman" w:hAnsi="Times New Roman"/>
          <w:szCs w:val="22"/>
        </w:rPr>
        <w:fldChar w:fldCharType="begin"/>
      </w:r>
      <w:r w:rsidR="00F5728E" w:rsidRPr="00463E1A">
        <w:rPr>
          <w:rFonts w:ascii="Times New Roman" w:hAnsi="Times New Roman"/>
          <w:szCs w:val="22"/>
        </w:rPr>
        <w:instrText xml:space="preserve"> SEQ Obrázek \* ARABIC </w:instrText>
      </w:r>
      <w:r w:rsidR="00F5728E" w:rsidRPr="00463E1A">
        <w:rPr>
          <w:rFonts w:ascii="Times New Roman" w:hAnsi="Times New Roman"/>
          <w:szCs w:val="22"/>
        </w:rPr>
        <w:fldChar w:fldCharType="separate"/>
      </w:r>
      <w:r w:rsidR="00463E1A">
        <w:rPr>
          <w:rFonts w:ascii="Times New Roman" w:hAnsi="Times New Roman"/>
          <w:noProof/>
          <w:szCs w:val="22"/>
        </w:rPr>
        <w:t>3</w:t>
      </w:r>
      <w:r w:rsidR="00F5728E" w:rsidRPr="00463E1A">
        <w:rPr>
          <w:rFonts w:ascii="Times New Roman" w:hAnsi="Times New Roman"/>
          <w:noProof/>
          <w:szCs w:val="22"/>
        </w:rPr>
        <w:fldChar w:fldCharType="end"/>
      </w:r>
      <w:r w:rsidRPr="00463E1A">
        <w:rPr>
          <w:rFonts w:ascii="Times New Roman" w:hAnsi="Times New Roman"/>
          <w:szCs w:val="22"/>
        </w:rPr>
        <w:t>: Vykazování nepovolených debetů</w:t>
      </w:r>
      <w:bookmarkEnd w:id="20"/>
    </w:p>
    <w:p w:rsidR="001F41C8" w:rsidRPr="00463E1A" w:rsidRDefault="00F25195" w:rsidP="001F41C8">
      <w:pPr>
        <w:pStyle w:val="Caption"/>
        <w:rPr>
          <w:rFonts w:ascii="Times New Roman" w:hAnsi="Times New Roman"/>
          <w:szCs w:val="22"/>
        </w:rPr>
      </w:pPr>
      <w:r w:rsidRPr="00463E1A">
        <w:rPr>
          <w:rFonts w:ascii="Times New Roman" w:hAnsi="Times New Roman"/>
          <w:noProof/>
          <w:szCs w:val="22"/>
          <w:lang w:eastAsia="cs-CZ"/>
        </w:rPr>
        <w:drawing>
          <wp:inline distT="0" distB="0" distL="0" distR="0" wp14:anchorId="27897C39" wp14:editId="606F5891">
            <wp:extent cx="5760720" cy="37299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3729990"/>
                    </a:xfrm>
                    <a:prstGeom prst="rect">
                      <a:avLst/>
                    </a:prstGeom>
                    <a:noFill/>
                    <a:ln>
                      <a:noFill/>
                    </a:ln>
                  </pic:spPr>
                </pic:pic>
              </a:graphicData>
            </a:graphic>
          </wp:inline>
        </w:drawing>
      </w:r>
    </w:p>
    <w:p w:rsidR="00F25195" w:rsidRPr="00463E1A" w:rsidRDefault="00F25195" w:rsidP="00F25195">
      <w:pPr>
        <w:rPr>
          <w:szCs w:val="22"/>
        </w:rPr>
      </w:pPr>
    </w:p>
    <w:p w:rsidR="003D2D24" w:rsidRDefault="00FD1152" w:rsidP="00463E1A">
      <w:pPr>
        <w:pStyle w:val="Heading1"/>
        <w:rPr>
          <w:rFonts w:ascii="Times New Roman" w:hAnsi="Times New Roman"/>
        </w:rPr>
      </w:pPr>
      <w:r w:rsidRPr="00463E1A">
        <w:rPr>
          <w:b w:val="0"/>
        </w:rPr>
        <w:br w:type="column"/>
      </w:r>
      <w:bookmarkStart w:id="21" w:name="_Toc270680"/>
      <w:bookmarkStart w:id="22" w:name="_Toc769528"/>
      <w:r w:rsidR="003D2D24" w:rsidRPr="00463E1A">
        <w:rPr>
          <w:rFonts w:ascii="Times New Roman" w:hAnsi="Times New Roman"/>
        </w:rPr>
        <w:lastRenderedPageBreak/>
        <w:t xml:space="preserve">Odepsané </w:t>
      </w:r>
      <w:bookmarkEnd w:id="21"/>
      <w:bookmarkEnd w:id="22"/>
      <w:r w:rsidR="00463E1A" w:rsidRPr="00463E1A">
        <w:rPr>
          <w:rFonts w:ascii="Times New Roman" w:hAnsi="Times New Roman"/>
        </w:rPr>
        <w:t>pohledávky</w:t>
      </w:r>
    </w:p>
    <w:p w:rsidR="00463E1A" w:rsidRPr="00463E1A" w:rsidRDefault="00463E1A" w:rsidP="00463E1A"/>
    <w:p w:rsidR="00F4099D" w:rsidRPr="00463E1A" w:rsidRDefault="00F4099D" w:rsidP="00FD1152">
      <w:pPr>
        <w:pStyle w:val="Heading2"/>
        <w:rPr>
          <w:rFonts w:ascii="Times New Roman" w:hAnsi="Times New Roman"/>
        </w:rPr>
      </w:pPr>
      <w:bookmarkStart w:id="23" w:name="_Toc270681"/>
      <w:bookmarkStart w:id="24" w:name="_Toc769529"/>
      <w:r w:rsidRPr="00463E1A">
        <w:rPr>
          <w:rFonts w:ascii="Times New Roman" w:hAnsi="Times New Roman"/>
        </w:rPr>
        <w:t>Rozsah vykazování</w:t>
      </w:r>
      <w:bookmarkEnd w:id="23"/>
      <w:bookmarkEnd w:id="24"/>
    </w:p>
    <w:p w:rsidR="00447B0E" w:rsidRPr="00463E1A" w:rsidRDefault="00447B0E" w:rsidP="009F094E">
      <w:pPr>
        <w:pStyle w:val="Nadpis1"/>
        <w:numPr>
          <w:ilvl w:val="0"/>
          <w:numId w:val="0"/>
        </w:numPr>
        <w:ind w:left="360"/>
        <w:rPr>
          <w:rFonts w:ascii="Times New Roman" w:hAnsi="Times New Roman"/>
          <w:sz w:val="22"/>
          <w:szCs w:val="22"/>
        </w:rPr>
      </w:pPr>
    </w:p>
    <w:p w:rsidR="00706F99" w:rsidRPr="00463E1A" w:rsidRDefault="001862FD" w:rsidP="00FD1152">
      <w:pPr>
        <w:pStyle w:val="Heading3"/>
        <w:rPr>
          <w:rFonts w:ascii="Times New Roman" w:hAnsi="Times New Roman"/>
        </w:rPr>
      </w:pPr>
      <w:bookmarkStart w:id="25" w:name="_Toc270682"/>
      <w:bookmarkStart w:id="26" w:name="_Toc769530"/>
      <w:r w:rsidRPr="00463E1A">
        <w:rPr>
          <w:rFonts w:ascii="Times New Roman" w:hAnsi="Times New Roman"/>
        </w:rPr>
        <w:t>Vliv odpisu na vykazování</w:t>
      </w:r>
      <w:bookmarkEnd w:id="25"/>
      <w:bookmarkEnd w:id="26"/>
    </w:p>
    <w:p w:rsidR="00F4099D" w:rsidRPr="00463E1A" w:rsidRDefault="00F4099D" w:rsidP="00447B0E">
      <w:pPr>
        <w:spacing w:line="240" w:lineRule="auto"/>
        <w:rPr>
          <w:szCs w:val="22"/>
        </w:rPr>
      </w:pPr>
    </w:p>
    <w:p w:rsidR="002B3BD5" w:rsidRPr="00463E1A" w:rsidRDefault="002B3BD5" w:rsidP="00447B0E">
      <w:pPr>
        <w:spacing w:after="120" w:line="240" w:lineRule="auto"/>
        <w:jc w:val="both"/>
        <w:rPr>
          <w:szCs w:val="22"/>
        </w:rPr>
      </w:pPr>
      <w:r w:rsidRPr="00463E1A">
        <w:rPr>
          <w:szCs w:val="22"/>
        </w:rPr>
        <w:t>Částečně odepsané pohledávky jsou stále aktivní a vykazují se ve stejném rozsahu jako pohledávky neodepsané.</w:t>
      </w:r>
      <w:r w:rsidR="00706F99" w:rsidRPr="00463E1A">
        <w:rPr>
          <w:szCs w:val="22"/>
        </w:rPr>
        <w:t xml:space="preserve"> </w:t>
      </w:r>
      <w:r w:rsidR="001862FD" w:rsidRPr="00463E1A">
        <w:rPr>
          <w:szCs w:val="22"/>
        </w:rPr>
        <w:t>T</w:t>
      </w:r>
      <w:r w:rsidR="00953161" w:rsidRPr="00463E1A">
        <w:rPr>
          <w:szCs w:val="22"/>
        </w:rPr>
        <w:t xml:space="preserve">ento dokument se </w:t>
      </w:r>
      <w:r w:rsidR="00706F99" w:rsidRPr="00463E1A">
        <w:rPr>
          <w:szCs w:val="22"/>
        </w:rPr>
        <w:t>jimi dále nezabývá.</w:t>
      </w:r>
    </w:p>
    <w:p w:rsidR="00FC7E45" w:rsidRPr="00463E1A" w:rsidRDefault="002B3BD5" w:rsidP="00447B0E">
      <w:pPr>
        <w:spacing w:after="120" w:line="240" w:lineRule="auto"/>
        <w:jc w:val="both"/>
        <w:rPr>
          <w:szCs w:val="22"/>
        </w:rPr>
      </w:pPr>
      <w:r w:rsidRPr="00463E1A">
        <w:rPr>
          <w:szCs w:val="22"/>
        </w:rPr>
        <w:t>Rozsah vykazovaných atributů plně odepsaných pohledávek je vzhledem k jejich ekonomické podstatě omezený.</w:t>
      </w:r>
      <w:r w:rsidR="00FC7E45" w:rsidRPr="00463E1A">
        <w:rPr>
          <w:szCs w:val="22"/>
        </w:rPr>
        <w:t xml:space="preserve"> </w:t>
      </w:r>
    </w:p>
    <w:p w:rsidR="00F4099D" w:rsidRPr="00463E1A" w:rsidRDefault="00F4099D" w:rsidP="00447B0E">
      <w:pPr>
        <w:spacing w:after="120" w:line="240" w:lineRule="auto"/>
        <w:jc w:val="both"/>
        <w:rPr>
          <w:szCs w:val="22"/>
        </w:rPr>
      </w:pPr>
    </w:p>
    <w:p w:rsidR="001862FD" w:rsidRPr="00463E1A" w:rsidRDefault="001862FD" w:rsidP="00FD1152">
      <w:pPr>
        <w:pStyle w:val="Heading3"/>
        <w:rPr>
          <w:rFonts w:ascii="Times New Roman" w:hAnsi="Times New Roman"/>
        </w:rPr>
      </w:pPr>
      <w:bookmarkStart w:id="27" w:name="_Toc270683"/>
      <w:bookmarkStart w:id="28" w:name="_Toc769531"/>
      <w:r w:rsidRPr="00463E1A">
        <w:rPr>
          <w:rFonts w:ascii="Times New Roman" w:hAnsi="Times New Roman"/>
        </w:rPr>
        <w:t>Kritéria pro vykazování</w:t>
      </w:r>
      <w:bookmarkEnd w:id="27"/>
      <w:bookmarkEnd w:id="28"/>
    </w:p>
    <w:p w:rsidR="00F4099D" w:rsidRPr="00463E1A" w:rsidRDefault="00F4099D" w:rsidP="00447B0E">
      <w:pPr>
        <w:spacing w:line="240" w:lineRule="auto"/>
        <w:rPr>
          <w:szCs w:val="22"/>
        </w:rPr>
      </w:pPr>
    </w:p>
    <w:p w:rsidR="00706F99" w:rsidRPr="00463E1A" w:rsidRDefault="00F4099D" w:rsidP="00447B0E">
      <w:pPr>
        <w:pStyle w:val="ListParagraph"/>
        <w:numPr>
          <w:ilvl w:val="0"/>
          <w:numId w:val="7"/>
        </w:numPr>
        <w:spacing w:after="120" w:line="240" w:lineRule="auto"/>
        <w:jc w:val="both"/>
        <w:rPr>
          <w:b/>
          <w:szCs w:val="22"/>
        </w:rPr>
      </w:pPr>
      <w:r w:rsidRPr="00463E1A">
        <w:rPr>
          <w:b/>
          <w:szCs w:val="22"/>
        </w:rPr>
        <w:t>Výše pohledávky</w:t>
      </w:r>
    </w:p>
    <w:p w:rsidR="002616D7" w:rsidRPr="00463E1A" w:rsidRDefault="00FC7E45" w:rsidP="00447B0E">
      <w:pPr>
        <w:pStyle w:val="ListParagraph"/>
        <w:spacing w:after="120" w:line="240" w:lineRule="auto"/>
        <w:jc w:val="both"/>
        <w:rPr>
          <w:szCs w:val="22"/>
        </w:rPr>
      </w:pPr>
      <w:r w:rsidRPr="00463E1A">
        <w:rPr>
          <w:szCs w:val="22"/>
        </w:rPr>
        <w:t xml:space="preserve">Kvůli budoucímu nahrazení sběrné vrstvy CRÚ sbírá ČNB na národní úrovni odepsané pohledávky </w:t>
      </w:r>
      <w:r w:rsidR="008E750E" w:rsidRPr="00463E1A">
        <w:rPr>
          <w:szCs w:val="22"/>
        </w:rPr>
        <w:t xml:space="preserve">bez ohledu na jejich velikost s výjimkou nepovoleného debetu, </w:t>
      </w:r>
      <w:r w:rsidR="0063690D" w:rsidRPr="00463E1A">
        <w:rPr>
          <w:szCs w:val="22"/>
        </w:rPr>
        <w:t>kde platí stejná pravidla jako pro vykazování neodepsaných nepovolených debetů</w:t>
      </w:r>
      <w:r w:rsidR="00731158" w:rsidRPr="00463E1A">
        <w:rPr>
          <w:szCs w:val="22"/>
        </w:rPr>
        <w:t xml:space="preserve"> (viz </w:t>
      </w:r>
      <w:r w:rsidR="00731158" w:rsidRPr="00463E1A">
        <w:rPr>
          <w:rStyle w:val="SubtleReference"/>
          <w:rFonts w:ascii="Times New Roman" w:hAnsi="Times New Roman"/>
          <w:szCs w:val="22"/>
        </w:rPr>
        <w:fldChar w:fldCharType="begin"/>
      </w:r>
      <w:r w:rsidR="00731158" w:rsidRPr="00463E1A">
        <w:rPr>
          <w:rStyle w:val="SubtleReference"/>
          <w:rFonts w:ascii="Times New Roman" w:hAnsi="Times New Roman"/>
          <w:szCs w:val="22"/>
        </w:rPr>
        <w:instrText xml:space="preserve"> REF _Ref187836 \r \h  \* MERGEFORMAT </w:instrText>
      </w:r>
      <w:r w:rsidR="00731158" w:rsidRPr="00463E1A">
        <w:rPr>
          <w:rStyle w:val="SubtleReference"/>
          <w:rFonts w:ascii="Times New Roman" w:hAnsi="Times New Roman"/>
          <w:szCs w:val="22"/>
        </w:rPr>
      </w:r>
      <w:r w:rsidR="00731158" w:rsidRPr="00463E1A">
        <w:rPr>
          <w:rStyle w:val="SubtleReference"/>
          <w:rFonts w:ascii="Times New Roman" w:hAnsi="Times New Roman"/>
          <w:szCs w:val="22"/>
        </w:rPr>
        <w:fldChar w:fldCharType="separate"/>
      </w:r>
      <w:r w:rsidR="00463E1A">
        <w:rPr>
          <w:rStyle w:val="SubtleReference"/>
          <w:rFonts w:ascii="Times New Roman" w:hAnsi="Times New Roman"/>
          <w:szCs w:val="22"/>
        </w:rPr>
        <w:t>2</w:t>
      </w:r>
      <w:r w:rsidR="00731158" w:rsidRPr="00463E1A">
        <w:rPr>
          <w:rStyle w:val="SubtleReference"/>
          <w:rFonts w:ascii="Times New Roman" w:hAnsi="Times New Roman"/>
          <w:szCs w:val="22"/>
        </w:rPr>
        <w:fldChar w:fldCharType="end"/>
      </w:r>
      <w:r w:rsidR="00731158" w:rsidRPr="00463E1A">
        <w:rPr>
          <w:rStyle w:val="SubtleReference"/>
          <w:rFonts w:ascii="Times New Roman" w:hAnsi="Times New Roman"/>
          <w:szCs w:val="22"/>
        </w:rPr>
        <w:t xml:space="preserve"> </w:t>
      </w:r>
      <w:r w:rsidR="00731158" w:rsidRPr="00463E1A">
        <w:rPr>
          <w:rStyle w:val="SubtleReference"/>
          <w:rFonts w:ascii="Times New Roman" w:hAnsi="Times New Roman"/>
          <w:szCs w:val="22"/>
        </w:rPr>
        <w:fldChar w:fldCharType="begin"/>
      </w:r>
      <w:r w:rsidR="00731158" w:rsidRPr="00463E1A">
        <w:rPr>
          <w:rStyle w:val="SubtleReference"/>
          <w:rFonts w:ascii="Times New Roman" w:hAnsi="Times New Roman"/>
          <w:szCs w:val="22"/>
        </w:rPr>
        <w:instrText xml:space="preserve"> REF _Ref187812 \h  \* MERGEFORMAT </w:instrText>
      </w:r>
      <w:r w:rsidR="00731158" w:rsidRPr="00463E1A">
        <w:rPr>
          <w:rStyle w:val="SubtleReference"/>
          <w:rFonts w:ascii="Times New Roman" w:hAnsi="Times New Roman"/>
          <w:szCs w:val="22"/>
        </w:rPr>
      </w:r>
      <w:r w:rsidR="00731158" w:rsidRPr="00463E1A">
        <w:rPr>
          <w:rStyle w:val="SubtleReference"/>
          <w:rFonts w:ascii="Times New Roman" w:hAnsi="Times New Roman"/>
          <w:szCs w:val="22"/>
        </w:rPr>
        <w:fldChar w:fldCharType="separate"/>
      </w:r>
      <w:r w:rsidR="00463E1A" w:rsidRPr="00463E1A">
        <w:rPr>
          <w:rStyle w:val="SubtleReference"/>
          <w:rFonts w:ascii="Times New Roman" w:hAnsi="Times New Roman"/>
        </w:rPr>
        <w:t>Nepovolené debety</w:t>
      </w:r>
      <w:r w:rsidR="00731158" w:rsidRPr="00463E1A">
        <w:rPr>
          <w:rStyle w:val="SubtleReference"/>
          <w:rFonts w:ascii="Times New Roman" w:hAnsi="Times New Roman"/>
          <w:szCs w:val="22"/>
        </w:rPr>
        <w:fldChar w:fldCharType="end"/>
      </w:r>
      <w:r w:rsidR="00731158" w:rsidRPr="00463E1A">
        <w:rPr>
          <w:szCs w:val="22"/>
        </w:rPr>
        <w:t xml:space="preserve">) </w:t>
      </w:r>
      <w:r w:rsidR="0063690D" w:rsidRPr="00463E1A">
        <w:rPr>
          <w:szCs w:val="22"/>
        </w:rPr>
        <w:t>.</w:t>
      </w:r>
      <w:r w:rsidR="008E750E" w:rsidRPr="00463E1A">
        <w:rPr>
          <w:szCs w:val="22"/>
        </w:rPr>
        <w:t xml:space="preserve"> </w:t>
      </w:r>
    </w:p>
    <w:p w:rsidR="00447B0E" w:rsidRPr="00463E1A" w:rsidRDefault="00447B0E" w:rsidP="00447B0E">
      <w:pPr>
        <w:pStyle w:val="ListParagraph"/>
        <w:spacing w:after="120" w:line="240" w:lineRule="auto"/>
        <w:jc w:val="both"/>
        <w:rPr>
          <w:szCs w:val="22"/>
        </w:rPr>
      </w:pPr>
    </w:p>
    <w:p w:rsidR="00706F99" w:rsidRPr="00463E1A" w:rsidRDefault="001862FD" w:rsidP="00447B0E">
      <w:pPr>
        <w:pStyle w:val="ListParagraph"/>
        <w:numPr>
          <w:ilvl w:val="0"/>
          <w:numId w:val="7"/>
        </w:numPr>
        <w:spacing w:after="120" w:line="240" w:lineRule="auto"/>
        <w:jc w:val="both"/>
        <w:rPr>
          <w:b/>
          <w:szCs w:val="22"/>
        </w:rPr>
      </w:pPr>
      <w:r w:rsidRPr="00463E1A">
        <w:rPr>
          <w:b/>
          <w:szCs w:val="22"/>
        </w:rPr>
        <w:t>Doba vykazování</w:t>
      </w:r>
    </w:p>
    <w:p w:rsidR="00706F99" w:rsidRPr="00463E1A" w:rsidRDefault="001862FD" w:rsidP="00447B0E">
      <w:pPr>
        <w:pStyle w:val="ListParagraph"/>
        <w:spacing w:after="120" w:line="240" w:lineRule="auto"/>
        <w:jc w:val="both"/>
        <w:rPr>
          <w:szCs w:val="22"/>
        </w:rPr>
      </w:pPr>
      <w:r w:rsidRPr="00463E1A">
        <w:rPr>
          <w:szCs w:val="22"/>
        </w:rPr>
        <w:t>Dle</w:t>
      </w:r>
      <w:r w:rsidR="00706F99" w:rsidRPr="00463E1A">
        <w:rPr>
          <w:szCs w:val="22"/>
        </w:rPr>
        <w:t xml:space="preserve"> požadavků ECB jsou odepsané pohledávky vykazovány po dobu, </w:t>
      </w:r>
      <w:r w:rsidRPr="00463E1A">
        <w:rPr>
          <w:szCs w:val="22"/>
        </w:rPr>
        <w:t xml:space="preserve">po kterou si sledovaný subjekt drží nároky vůči dlužníkovi, tj. zůstává věřitelem pohledávky. </w:t>
      </w:r>
      <w:r w:rsidR="0055325F" w:rsidRPr="00463E1A">
        <w:rPr>
          <w:szCs w:val="22"/>
        </w:rPr>
        <w:t>Přestane-li mít sledovaný subjekt nárok vůči dlužníkovi, vykazování pokračuje do konce kalendářního čtvrtletí, v němž nárok skončil.</w:t>
      </w:r>
    </w:p>
    <w:p w:rsidR="0003539E" w:rsidRPr="00463E1A" w:rsidRDefault="0003539E" w:rsidP="0003539E">
      <w:pPr>
        <w:pStyle w:val="Caption"/>
        <w:keepNext/>
        <w:jc w:val="both"/>
        <w:rPr>
          <w:rFonts w:ascii="Times New Roman" w:hAnsi="Times New Roman"/>
          <w:szCs w:val="22"/>
        </w:rPr>
      </w:pPr>
      <w:bookmarkStart w:id="29" w:name="_Ref536703934"/>
      <w:r w:rsidRPr="00463E1A">
        <w:rPr>
          <w:rFonts w:ascii="Times New Roman" w:hAnsi="Times New Roman"/>
          <w:szCs w:val="22"/>
        </w:rPr>
        <w:lastRenderedPageBreak/>
        <w:t xml:space="preserve">Obrázek </w:t>
      </w:r>
      <w:r w:rsidR="00382E88" w:rsidRPr="00463E1A">
        <w:rPr>
          <w:rFonts w:ascii="Times New Roman" w:hAnsi="Times New Roman"/>
          <w:szCs w:val="22"/>
        </w:rPr>
        <w:fldChar w:fldCharType="begin"/>
      </w:r>
      <w:r w:rsidR="00382E88" w:rsidRPr="00463E1A">
        <w:rPr>
          <w:rFonts w:ascii="Times New Roman" w:hAnsi="Times New Roman"/>
          <w:szCs w:val="22"/>
        </w:rPr>
        <w:instrText xml:space="preserve"> SEQ Obrázek \* ARABIC </w:instrText>
      </w:r>
      <w:r w:rsidR="00382E88" w:rsidRPr="00463E1A">
        <w:rPr>
          <w:rFonts w:ascii="Times New Roman" w:hAnsi="Times New Roman"/>
          <w:szCs w:val="22"/>
        </w:rPr>
        <w:fldChar w:fldCharType="separate"/>
      </w:r>
      <w:r w:rsidR="00463E1A">
        <w:rPr>
          <w:rFonts w:ascii="Times New Roman" w:hAnsi="Times New Roman"/>
          <w:noProof/>
          <w:szCs w:val="22"/>
        </w:rPr>
        <w:t>4</w:t>
      </w:r>
      <w:r w:rsidR="00382E88" w:rsidRPr="00463E1A">
        <w:rPr>
          <w:rFonts w:ascii="Times New Roman" w:hAnsi="Times New Roman"/>
          <w:noProof/>
          <w:szCs w:val="22"/>
        </w:rPr>
        <w:fldChar w:fldCharType="end"/>
      </w:r>
      <w:r w:rsidRPr="00463E1A">
        <w:rPr>
          <w:rFonts w:ascii="Times New Roman" w:hAnsi="Times New Roman"/>
          <w:szCs w:val="22"/>
        </w:rPr>
        <w:t>: Doba vykazování odepsané pohledávky</w:t>
      </w:r>
      <w:bookmarkEnd w:id="29"/>
    </w:p>
    <w:p w:rsidR="009B7AD9" w:rsidRDefault="00F40E1C" w:rsidP="00447B0E">
      <w:pPr>
        <w:spacing w:after="120" w:line="240" w:lineRule="auto"/>
        <w:jc w:val="both"/>
        <w:rPr>
          <w:szCs w:val="22"/>
          <w:lang w:val="de-DE"/>
        </w:rPr>
      </w:pPr>
      <w:r w:rsidRPr="00463E1A">
        <w:rPr>
          <w:noProof/>
          <w:szCs w:val="22"/>
          <w:lang w:eastAsia="cs-CZ"/>
        </w:rPr>
        <w:drawing>
          <wp:inline distT="0" distB="0" distL="0" distR="0" wp14:anchorId="2AA5A5EB" wp14:editId="2FDAE9C9">
            <wp:extent cx="5760720" cy="5308377"/>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5308377"/>
                    </a:xfrm>
                    <a:prstGeom prst="rect">
                      <a:avLst/>
                    </a:prstGeom>
                    <a:noFill/>
                    <a:ln>
                      <a:noFill/>
                    </a:ln>
                  </pic:spPr>
                </pic:pic>
              </a:graphicData>
            </a:graphic>
          </wp:inline>
        </w:drawing>
      </w:r>
    </w:p>
    <w:p w:rsidR="00463E1A" w:rsidRPr="00463E1A" w:rsidRDefault="00463E1A" w:rsidP="00447B0E">
      <w:pPr>
        <w:spacing w:after="120" w:line="240" w:lineRule="auto"/>
        <w:jc w:val="both"/>
        <w:rPr>
          <w:szCs w:val="22"/>
          <w:lang w:val="de-DE"/>
        </w:rPr>
      </w:pPr>
    </w:p>
    <w:p w:rsidR="00B34439" w:rsidRPr="00463E1A" w:rsidRDefault="00B34439" w:rsidP="00F309E5">
      <w:pPr>
        <w:pStyle w:val="Heading2"/>
        <w:rPr>
          <w:rFonts w:ascii="Times New Roman" w:hAnsi="Times New Roman"/>
          <w:lang w:val="de-DE"/>
        </w:rPr>
      </w:pPr>
      <w:bookmarkStart w:id="30" w:name="_Toc270684"/>
      <w:bookmarkStart w:id="31" w:name="_Toc769532"/>
      <w:r w:rsidRPr="00463E1A">
        <w:rPr>
          <w:rFonts w:ascii="Times New Roman" w:hAnsi="Times New Roman"/>
        </w:rPr>
        <w:t>Atributy</w:t>
      </w:r>
      <w:bookmarkEnd w:id="30"/>
      <w:bookmarkEnd w:id="31"/>
    </w:p>
    <w:p w:rsidR="00447B0E" w:rsidRPr="00463E1A" w:rsidRDefault="00447B0E" w:rsidP="009F094E">
      <w:pPr>
        <w:pStyle w:val="Nadpis2"/>
        <w:numPr>
          <w:ilvl w:val="0"/>
          <w:numId w:val="0"/>
        </w:numPr>
        <w:ind w:left="792"/>
        <w:rPr>
          <w:rFonts w:ascii="Times New Roman" w:hAnsi="Times New Roman"/>
          <w:sz w:val="22"/>
          <w:szCs w:val="22"/>
        </w:rPr>
      </w:pPr>
    </w:p>
    <w:p w:rsidR="008916B6" w:rsidRPr="00463E1A" w:rsidRDefault="00ED1000" w:rsidP="00ED1000">
      <w:pPr>
        <w:spacing w:after="120" w:line="240" w:lineRule="auto"/>
        <w:jc w:val="both"/>
        <w:rPr>
          <w:szCs w:val="22"/>
        </w:rPr>
      </w:pPr>
      <w:r w:rsidRPr="00463E1A">
        <w:rPr>
          <w:szCs w:val="22"/>
        </w:rPr>
        <w:t>U plně odepsaných instrumentů je možné vykázat neúplnou sadu atributů. Plně ode</w:t>
      </w:r>
      <w:r w:rsidR="006457A8" w:rsidRPr="00463E1A">
        <w:rPr>
          <w:szCs w:val="22"/>
        </w:rPr>
        <w:t>ps</w:t>
      </w:r>
      <w:r w:rsidRPr="00463E1A">
        <w:rPr>
          <w:szCs w:val="22"/>
        </w:rPr>
        <w:t>ané instrumenty splňují podmínky CD0060 nebo CD0070 v</w:t>
      </w:r>
      <w:r w:rsidR="002E7506" w:rsidRPr="00463E1A">
        <w:rPr>
          <w:szCs w:val="22"/>
        </w:rPr>
        <w:t> </w:t>
      </w:r>
      <w:r w:rsidRPr="00463E1A">
        <w:rPr>
          <w:szCs w:val="22"/>
        </w:rPr>
        <w:t>dokumentu</w:t>
      </w:r>
      <w:r w:rsidR="002E7506" w:rsidRPr="00463E1A">
        <w:rPr>
          <w:szCs w:val="22"/>
        </w:rPr>
        <w:t xml:space="preserve"> </w:t>
      </w:r>
      <w:r w:rsidR="002E7506" w:rsidRPr="00463E1A">
        <w:rPr>
          <w:szCs w:val="22"/>
        </w:rPr>
        <w:fldChar w:fldCharType="begin"/>
      </w:r>
      <w:r w:rsidR="002E7506" w:rsidRPr="00463E1A">
        <w:rPr>
          <w:szCs w:val="22"/>
        </w:rPr>
        <w:instrText xml:space="preserve"> REF _Ref270180 \h </w:instrText>
      </w:r>
      <w:r w:rsidR="002E7506" w:rsidRPr="00463E1A">
        <w:rPr>
          <w:szCs w:val="22"/>
        </w:rPr>
      </w:r>
      <w:r w:rsidR="006B2564" w:rsidRPr="00463E1A">
        <w:rPr>
          <w:szCs w:val="22"/>
        </w:rPr>
        <w:instrText xml:space="preserve"> \* MERGEFORMAT </w:instrText>
      </w:r>
      <w:r w:rsidR="002E7506" w:rsidRPr="00463E1A">
        <w:rPr>
          <w:szCs w:val="22"/>
        </w:rPr>
        <w:fldChar w:fldCharType="separate"/>
      </w:r>
      <w:r w:rsidR="00463E1A" w:rsidRPr="00463E1A">
        <w:rPr>
          <w:rStyle w:val="Hyperlink"/>
          <w:szCs w:val="22"/>
        </w:rPr>
        <w:t>Kontroly ČNB</w:t>
      </w:r>
      <w:r w:rsidR="002E7506" w:rsidRPr="00463E1A">
        <w:rPr>
          <w:szCs w:val="22"/>
        </w:rPr>
        <w:fldChar w:fldCharType="end"/>
      </w:r>
      <w:r w:rsidRPr="00463E1A">
        <w:rPr>
          <w:szCs w:val="22"/>
        </w:rPr>
        <w:t>, u nichž je pro zmíněné podmínky uvedena hodnota</w:t>
      </w:r>
      <w:r w:rsidR="008916B6" w:rsidRPr="00463E1A">
        <w:rPr>
          <w:szCs w:val="22"/>
        </w:rPr>
        <w:t>:</w:t>
      </w:r>
    </w:p>
    <w:p w:rsidR="008916B6" w:rsidRPr="00463E1A" w:rsidRDefault="008916B6" w:rsidP="008916B6">
      <w:pPr>
        <w:pStyle w:val="ListParagraph"/>
        <w:numPr>
          <w:ilvl w:val="0"/>
          <w:numId w:val="15"/>
        </w:numPr>
        <w:spacing w:after="120" w:line="240" w:lineRule="auto"/>
        <w:jc w:val="both"/>
        <w:rPr>
          <w:szCs w:val="22"/>
        </w:rPr>
      </w:pPr>
      <w:r w:rsidRPr="00463E1A">
        <w:rPr>
          <w:szCs w:val="22"/>
        </w:rPr>
        <w:t>Y - požaduje plnit ECB</w:t>
      </w:r>
    </w:p>
    <w:p w:rsidR="008916B6" w:rsidRPr="00463E1A" w:rsidRDefault="008916B6" w:rsidP="008916B6">
      <w:pPr>
        <w:pStyle w:val="ListParagraph"/>
        <w:numPr>
          <w:ilvl w:val="0"/>
          <w:numId w:val="15"/>
        </w:numPr>
        <w:spacing w:after="120" w:line="240" w:lineRule="auto"/>
        <w:jc w:val="both"/>
        <w:rPr>
          <w:szCs w:val="22"/>
        </w:rPr>
      </w:pPr>
      <w:r w:rsidRPr="00463E1A">
        <w:rPr>
          <w:szCs w:val="22"/>
        </w:rPr>
        <w:t>NY – požaduje plnit ČNB kvůli očekávanému nahrazení sběrné vrstvy CRÚ daty z </w:t>
      </w:r>
      <w:proofErr w:type="spellStart"/>
      <w:r w:rsidRPr="00463E1A">
        <w:rPr>
          <w:szCs w:val="22"/>
        </w:rPr>
        <w:t>Anacredit</w:t>
      </w:r>
      <w:proofErr w:type="spellEnd"/>
    </w:p>
    <w:p w:rsidR="00ED1000" w:rsidRPr="00463E1A" w:rsidRDefault="00ED1000" w:rsidP="008916B6">
      <w:pPr>
        <w:pStyle w:val="ListParagraph"/>
        <w:numPr>
          <w:ilvl w:val="0"/>
          <w:numId w:val="15"/>
        </w:numPr>
        <w:spacing w:after="120" w:line="240" w:lineRule="auto"/>
        <w:jc w:val="both"/>
        <w:rPr>
          <w:szCs w:val="22"/>
        </w:rPr>
      </w:pPr>
      <w:r w:rsidRPr="00463E1A">
        <w:rPr>
          <w:szCs w:val="22"/>
        </w:rPr>
        <w:t>X nebo NX</w:t>
      </w:r>
      <w:r w:rsidR="008916B6" w:rsidRPr="00463E1A">
        <w:rPr>
          <w:szCs w:val="22"/>
        </w:rPr>
        <w:t xml:space="preserve"> - </w:t>
      </w:r>
      <w:r w:rsidRPr="00463E1A">
        <w:rPr>
          <w:szCs w:val="22"/>
        </w:rPr>
        <w:t xml:space="preserve"> je možné plnit hodnotou NTRQ (not </w:t>
      </w:r>
      <w:proofErr w:type="spellStart"/>
      <w:r w:rsidRPr="00463E1A">
        <w:rPr>
          <w:szCs w:val="22"/>
        </w:rPr>
        <w:t>required</w:t>
      </w:r>
      <w:proofErr w:type="spellEnd"/>
      <w:r w:rsidRPr="00463E1A">
        <w:rPr>
          <w:szCs w:val="22"/>
        </w:rPr>
        <w:t xml:space="preserve">). </w:t>
      </w:r>
    </w:p>
    <w:p w:rsidR="00ED1000" w:rsidRPr="00463E1A" w:rsidRDefault="00ED1000" w:rsidP="00447B0E">
      <w:pPr>
        <w:spacing w:after="120" w:line="240" w:lineRule="auto"/>
        <w:jc w:val="both"/>
        <w:rPr>
          <w:szCs w:val="22"/>
        </w:rPr>
      </w:pPr>
    </w:p>
    <w:p w:rsidR="00FB6B14" w:rsidRPr="00463E1A" w:rsidRDefault="0046762C" w:rsidP="006E4B75">
      <w:pPr>
        <w:spacing w:after="120" w:line="240" w:lineRule="auto"/>
        <w:jc w:val="both"/>
        <w:rPr>
          <w:szCs w:val="22"/>
        </w:rPr>
      </w:pPr>
      <w:r w:rsidRPr="00463E1A">
        <w:rPr>
          <w:szCs w:val="22"/>
        </w:rPr>
        <w:t>Zcela odepsaný instrument musí splňovat následující charakteristiky:</w:t>
      </w:r>
    </w:p>
    <w:tbl>
      <w:tblPr>
        <w:tblStyle w:val="TableGrid"/>
        <w:tblW w:w="0" w:type="auto"/>
        <w:tblLook w:val="04A0" w:firstRow="1" w:lastRow="0" w:firstColumn="1" w:lastColumn="0" w:noHBand="0" w:noVBand="1"/>
      </w:tblPr>
      <w:tblGrid>
        <w:gridCol w:w="4606"/>
        <w:gridCol w:w="4606"/>
      </w:tblGrid>
      <w:tr w:rsidR="006E4B75" w:rsidRPr="00463E1A" w:rsidTr="00D25D60">
        <w:tc>
          <w:tcPr>
            <w:tcW w:w="9212" w:type="dxa"/>
            <w:gridSpan w:val="2"/>
          </w:tcPr>
          <w:p w:rsidR="006E4B75" w:rsidRPr="00463E1A" w:rsidRDefault="006E4B75" w:rsidP="006E4B75">
            <w:pPr>
              <w:pStyle w:val="Caption"/>
              <w:rPr>
                <w:rFonts w:ascii="Times New Roman" w:hAnsi="Times New Roman"/>
                <w:szCs w:val="22"/>
              </w:rPr>
            </w:pPr>
            <w:bookmarkStart w:id="32" w:name="_Ref536700808"/>
            <w:r w:rsidRPr="00463E1A">
              <w:rPr>
                <w:rFonts w:ascii="Times New Roman" w:hAnsi="Times New Roman"/>
                <w:szCs w:val="22"/>
              </w:rPr>
              <w:t xml:space="preserve">Tabulka </w:t>
            </w:r>
            <w:r w:rsidR="00382E88" w:rsidRPr="00463E1A">
              <w:rPr>
                <w:rFonts w:ascii="Times New Roman" w:hAnsi="Times New Roman"/>
                <w:szCs w:val="22"/>
              </w:rPr>
              <w:fldChar w:fldCharType="begin"/>
            </w:r>
            <w:r w:rsidR="00382E88" w:rsidRPr="00463E1A">
              <w:rPr>
                <w:rFonts w:ascii="Times New Roman" w:hAnsi="Times New Roman"/>
                <w:szCs w:val="22"/>
              </w:rPr>
              <w:instrText xml:space="preserve"> SEQ Tabulka \* ARABIC </w:instrText>
            </w:r>
            <w:r w:rsidR="00382E88" w:rsidRPr="00463E1A">
              <w:rPr>
                <w:rFonts w:ascii="Times New Roman" w:hAnsi="Times New Roman"/>
                <w:szCs w:val="22"/>
              </w:rPr>
              <w:fldChar w:fldCharType="separate"/>
            </w:r>
            <w:r w:rsidR="00463E1A">
              <w:rPr>
                <w:rFonts w:ascii="Times New Roman" w:hAnsi="Times New Roman"/>
                <w:noProof/>
                <w:szCs w:val="22"/>
              </w:rPr>
              <w:t>1</w:t>
            </w:r>
            <w:r w:rsidR="00382E88" w:rsidRPr="00463E1A">
              <w:rPr>
                <w:rFonts w:ascii="Times New Roman" w:hAnsi="Times New Roman"/>
                <w:noProof/>
                <w:szCs w:val="22"/>
              </w:rPr>
              <w:fldChar w:fldCharType="end"/>
            </w:r>
            <w:r w:rsidRPr="00463E1A">
              <w:rPr>
                <w:rFonts w:ascii="Times New Roman" w:hAnsi="Times New Roman"/>
                <w:szCs w:val="22"/>
              </w:rPr>
              <w:t>: Charakteristiky plně odepsaného instrumentu</w:t>
            </w:r>
            <w:bookmarkEnd w:id="32"/>
          </w:p>
        </w:tc>
      </w:tr>
      <w:tr w:rsidR="00386386" w:rsidRPr="00463E1A" w:rsidTr="006E4B75">
        <w:tc>
          <w:tcPr>
            <w:tcW w:w="4606" w:type="dxa"/>
          </w:tcPr>
          <w:p w:rsidR="00386386" w:rsidRPr="00463E1A" w:rsidRDefault="00386386" w:rsidP="00447B0E">
            <w:pPr>
              <w:spacing w:after="120"/>
              <w:jc w:val="both"/>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Kumulované odpisy (</w:t>
            </w:r>
            <w:proofErr w:type="spellStart"/>
            <w:r w:rsidRPr="00463E1A">
              <w:rPr>
                <w:rFonts w:ascii="Times New Roman" w:hAnsi="Times New Roman"/>
                <w:b/>
                <w:color w:val="365F91" w:themeColor="accent1" w:themeShade="BF"/>
                <w:szCs w:val="22"/>
              </w:rPr>
              <w:t>Accumulated</w:t>
            </w:r>
            <w:proofErr w:type="spellEnd"/>
            <w:r w:rsidRPr="00463E1A">
              <w:rPr>
                <w:rFonts w:ascii="Times New Roman" w:hAnsi="Times New Roman"/>
                <w:b/>
                <w:color w:val="365F91" w:themeColor="accent1" w:themeShade="BF"/>
                <w:szCs w:val="22"/>
              </w:rPr>
              <w:t xml:space="preserve"> </w:t>
            </w:r>
            <w:proofErr w:type="spellStart"/>
            <w:r w:rsidRPr="00463E1A">
              <w:rPr>
                <w:rFonts w:ascii="Times New Roman" w:hAnsi="Times New Roman"/>
                <w:b/>
                <w:color w:val="365F91" w:themeColor="accent1" w:themeShade="BF"/>
                <w:szCs w:val="22"/>
              </w:rPr>
              <w:t>write-offs</w:t>
            </w:r>
            <w:proofErr w:type="spellEnd"/>
            <w:r w:rsidRPr="00463E1A">
              <w:rPr>
                <w:rFonts w:ascii="Times New Roman" w:hAnsi="Times New Roman"/>
                <w:b/>
                <w:color w:val="365F91" w:themeColor="accent1" w:themeShade="BF"/>
                <w:szCs w:val="22"/>
              </w:rPr>
              <w:t>)</w:t>
            </w:r>
          </w:p>
        </w:tc>
        <w:tc>
          <w:tcPr>
            <w:tcW w:w="4606" w:type="dxa"/>
          </w:tcPr>
          <w:p w:rsidR="00386386" w:rsidRPr="00463E1A" w:rsidRDefault="00386386" w:rsidP="00447B0E">
            <w:pPr>
              <w:spacing w:after="120"/>
              <w:jc w:val="both"/>
              <w:rPr>
                <w:rFonts w:ascii="Times New Roman" w:hAnsi="Times New Roman"/>
                <w:szCs w:val="22"/>
              </w:rPr>
            </w:pPr>
            <w:r w:rsidRPr="00463E1A">
              <w:rPr>
                <w:rFonts w:ascii="Times New Roman" w:hAnsi="Times New Roman"/>
                <w:szCs w:val="22"/>
              </w:rPr>
              <w:t>&gt;0</w:t>
            </w:r>
          </w:p>
        </w:tc>
      </w:tr>
      <w:tr w:rsidR="00386386" w:rsidRPr="00463E1A" w:rsidTr="006E4B75">
        <w:tc>
          <w:tcPr>
            <w:tcW w:w="4606" w:type="dxa"/>
          </w:tcPr>
          <w:p w:rsidR="00386386" w:rsidRPr="00463E1A" w:rsidRDefault="00386386" w:rsidP="00447B0E">
            <w:pPr>
              <w:spacing w:after="120"/>
              <w:jc w:val="both"/>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Nesplacená nominální hodnota (</w:t>
            </w:r>
            <w:proofErr w:type="spellStart"/>
            <w:r w:rsidRPr="00463E1A">
              <w:rPr>
                <w:rFonts w:ascii="Times New Roman" w:hAnsi="Times New Roman"/>
                <w:b/>
                <w:color w:val="365F91" w:themeColor="accent1" w:themeShade="BF"/>
                <w:szCs w:val="22"/>
              </w:rPr>
              <w:t>Outstanding</w:t>
            </w:r>
            <w:proofErr w:type="spellEnd"/>
            <w:r w:rsidRPr="00463E1A">
              <w:rPr>
                <w:rFonts w:ascii="Times New Roman" w:hAnsi="Times New Roman"/>
                <w:b/>
                <w:color w:val="365F91" w:themeColor="accent1" w:themeShade="BF"/>
                <w:szCs w:val="22"/>
              </w:rPr>
              <w:t xml:space="preserve"> </w:t>
            </w:r>
            <w:proofErr w:type="spellStart"/>
            <w:r w:rsidRPr="00463E1A">
              <w:rPr>
                <w:rFonts w:ascii="Times New Roman" w:hAnsi="Times New Roman"/>
                <w:b/>
                <w:color w:val="365F91" w:themeColor="accent1" w:themeShade="BF"/>
                <w:szCs w:val="22"/>
              </w:rPr>
              <w:t>nominal</w:t>
            </w:r>
            <w:proofErr w:type="spellEnd"/>
            <w:r w:rsidRPr="00463E1A">
              <w:rPr>
                <w:rFonts w:ascii="Times New Roman" w:hAnsi="Times New Roman"/>
                <w:b/>
                <w:color w:val="365F91" w:themeColor="accent1" w:themeShade="BF"/>
                <w:szCs w:val="22"/>
              </w:rPr>
              <w:t xml:space="preserve"> </w:t>
            </w:r>
            <w:proofErr w:type="spellStart"/>
            <w:r w:rsidRPr="00463E1A">
              <w:rPr>
                <w:rFonts w:ascii="Times New Roman" w:hAnsi="Times New Roman"/>
                <w:b/>
                <w:color w:val="365F91" w:themeColor="accent1" w:themeShade="BF"/>
                <w:szCs w:val="22"/>
              </w:rPr>
              <w:t>amount</w:t>
            </w:r>
            <w:proofErr w:type="spellEnd"/>
            <w:r w:rsidRPr="00463E1A">
              <w:rPr>
                <w:rFonts w:ascii="Times New Roman" w:hAnsi="Times New Roman"/>
                <w:b/>
                <w:color w:val="365F91" w:themeColor="accent1" w:themeShade="BF"/>
                <w:szCs w:val="22"/>
              </w:rPr>
              <w:t>)</w:t>
            </w:r>
          </w:p>
        </w:tc>
        <w:tc>
          <w:tcPr>
            <w:tcW w:w="4606" w:type="dxa"/>
          </w:tcPr>
          <w:p w:rsidR="00386386" w:rsidRPr="00463E1A" w:rsidRDefault="00386386" w:rsidP="00447B0E">
            <w:pPr>
              <w:spacing w:after="120"/>
              <w:jc w:val="both"/>
              <w:rPr>
                <w:rFonts w:ascii="Times New Roman" w:hAnsi="Times New Roman"/>
                <w:szCs w:val="22"/>
              </w:rPr>
            </w:pPr>
            <w:r w:rsidRPr="00463E1A">
              <w:rPr>
                <w:rFonts w:ascii="Times New Roman" w:hAnsi="Times New Roman"/>
                <w:szCs w:val="22"/>
              </w:rPr>
              <w:t>0</w:t>
            </w:r>
          </w:p>
        </w:tc>
      </w:tr>
      <w:tr w:rsidR="00386386" w:rsidRPr="00463E1A" w:rsidTr="006E4B75">
        <w:tc>
          <w:tcPr>
            <w:tcW w:w="4606" w:type="dxa"/>
          </w:tcPr>
          <w:p w:rsidR="00386386" w:rsidRPr="00463E1A" w:rsidRDefault="00386386" w:rsidP="00447B0E">
            <w:pPr>
              <w:spacing w:after="120"/>
              <w:jc w:val="both"/>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lastRenderedPageBreak/>
              <w:t>Hodnota podrozvahových položek (</w:t>
            </w:r>
            <w:proofErr w:type="spellStart"/>
            <w:r w:rsidRPr="00463E1A">
              <w:rPr>
                <w:rFonts w:ascii="Times New Roman" w:hAnsi="Times New Roman"/>
                <w:b/>
                <w:color w:val="365F91" w:themeColor="accent1" w:themeShade="BF"/>
                <w:szCs w:val="22"/>
              </w:rPr>
              <w:t>Off</w:t>
            </w:r>
            <w:proofErr w:type="spellEnd"/>
            <w:r w:rsidRPr="00463E1A">
              <w:rPr>
                <w:rFonts w:ascii="Times New Roman" w:hAnsi="Times New Roman"/>
                <w:b/>
                <w:color w:val="365F91" w:themeColor="accent1" w:themeShade="BF"/>
                <w:szCs w:val="22"/>
              </w:rPr>
              <w:t xml:space="preserve">-balance </w:t>
            </w:r>
            <w:proofErr w:type="spellStart"/>
            <w:r w:rsidRPr="00463E1A">
              <w:rPr>
                <w:rFonts w:ascii="Times New Roman" w:hAnsi="Times New Roman"/>
                <w:b/>
                <w:color w:val="365F91" w:themeColor="accent1" w:themeShade="BF"/>
                <w:szCs w:val="22"/>
              </w:rPr>
              <w:t>sheet</w:t>
            </w:r>
            <w:proofErr w:type="spellEnd"/>
            <w:r w:rsidRPr="00463E1A">
              <w:rPr>
                <w:rFonts w:ascii="Times New Roman" w:hAnsi="Times New Roman"/>
                <w:b/>
                <w:color w:val="365F91" w:themeColor="accent1" w:themeShade="BF"/>
                <w:szCs w:val="22"/>
              </w:rPr>
              <w:t xml:space="preserve"> </w:t>
            </w:r>
            <w:proofErr w:type="spellStart"/>
            <w:r w:rsidRPr="00463E1A">
              <w:rPr>
                <w:rFonts w:ascii="Times New Roman" w:hAnsi="Times New Roman"/>
                <w:b/>
                <w:color w:val="365F91" w:themeColor="accent1" w:themeShade="BF"/>
                <w:szCs w:val="22"/>
              </w:rPr>
              <w:t>amount</w:t>
            </w:r>
            <w:proofErr w:type="spellEnd"/>
            <w:r w:rsidRPr="00463E1A">
              <w:rPr>
                <w:rFonts w:ascii="Times New Roman" w:hAnsi="Times New Roman"/>
                <w:b/>
                <w:color w:val="365F91" w:themeColor="accent1" w:themeShade="BF"/>
                <w:szCs w:val="22"/>
              </w:rPr>
              <w:t>)</w:t>
            </w:r>
          </w:p>
        </w:tc>
        <w:tc>
          <w:tcPr>
            <w:tcW w:w="4606" w:type="dxa"/>
          </w:tcPr>
          <w:p w:rsidR="00386386" w:rsidRPr="00463E1A" w:rsidRDefault="00386386" w:rsidP="00447B0E">
            <w:pPr>
              <w:spacing w:after="120"/>
              <w:jc w:val="both"/>
              <w:rPr>
                <w:rFonts w:ascii="Times New Roman" w:hAnsi="Times New Roman"/>
                <w:szCs w:val="22"/>
              </w:rPr>
            </w:pPr>
            <w:r w:rsidRPr="00463E1A">
              <w:rPr>
                <w:rFonts w:ascii="Times New Roman" w:hAnsi="Times New Roman"/>
                <w:szCs w:val="22"/>
              </w:rPr>
              <w:t>NTAP</w:t>
            </w:r>
          </w:p>
        </w:tc>
      </w:tr>
      <w:tr w:rsidR="00386386" w:rsidRPr="00463E1A" w:rsidTr="006E4B75">
        <w:tc>
          <w:tcPr>
            <w:tcW w:w="4606" w:type="dxa"/>
          </w:tcPr>
          <w:p w:rsidR="00386386" w:rsidRPr="00463E1A" w:rsidRDefault="00386386" w:rsidP="00447B0E">
            <w:pPr>
              <w:spacing w:after="120"/>
              <w:jc w:val="both"/>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 xml:space="preserve">Zachycení v rozvaze (Balance </w:t>
            </w:r>
            <w:proofErr w:type="spellStart"/>
            <w:r w:rsidRPr="00463E1A">
              <w:rPr>
                <w:rFonts w:ascii="Times New Roman" w:hAnsi="Times New Roman"/>
                <w:b/>
                <w:color w:val="365F91" w:themeColor="accent1" w:themeShade="BF"/>
                <w:szCs w:val="22"/>
              </w:rPr>
              <w:t>sheet</w:t>
            </w:r>
            <w:proofErr w:type="spellEnd"/>
            <w:r w:rsidRPr="00463E1A">
              <w:rPr>
                <w:rFonts w:ascii="Times New Roman" w:hAnsi="Times New Roman"/>
                <w:b/>
                <w:color w:val="365F91" w:themeColor="accent1" w:themeShade="BF"/>
                <w:szCs w:val="22"/>
              </w:rPr>
              <w:t xml:space="preserve"> </w:t>
            </w:r>
            <w:proofErr w:type="spellStart"/>
            <w:r w:rsidRPr="00463E1A">
              <w:rPr>
                <w:rFonts w:ascii="Times New Roman" w:hAnsi="Times New Roman"/>
                <w:b/>
                <w:color w:val="365F91" w:themeColor="accent1" w:themeShade="BF"/>
                <w:szCs w:val="22"/>
              </w:rPr>
              <w:t>recognition</w:t>
            </w:r>
            <w:proofErr w:type="spellEnd"/>
            <w:r w:rsidRPr="00463E1A">
              <w:rPr>
                <w:rFonts w:ascii="Times New Roman" w:hAnsi="Times New Roman"/>
                <w:b/>
                <w:color w:val="365F91" w:themeColor="accent1" w:themeShade="BF"/>
                <w:szCs w:val="22"/>
              </w:rPr>
              <w:t>)</w:t>
            </w:r>
          </w:p>
        </w:tc>
        <w:tc>
          <w:tcPr>
            <w:tcW w:w="4606" w:type="dxa"/>
          </w:tcPr>
          <w:p w:rsidR="00386386" w:rsidRPr="00463E1A" w:rsidRDefault="00F0341D" w:rsidP="00447B0E">
            <w:pPr>
              <w:spacing w:after="120"/>
              <w:jc w:val="both"/>
              <w:rPr>
                <w:rFonts w:ascii="Times New Roman" w:hAnsi="Times New Roman"/>
                <w:szCs w:val="22"/>
              </w:rPr>
            </w:pPr>
            <w:r w:rsidRPr="00463E1A">
              <w:rPr>
                <w:rFonts w:ascii="Times New Roman" w:hAnsi="Times New Roman"/>
                <w:szCs w:val="22"/>
              </w:rPr>
              <w:t xml:space="preserve">3 - </w:t>
            </w:r>
            <w:r w:rsidR="00386386" w:rsidRPr="00463E1A">
              <w:rPr>
                <w:rFonts w:ascii="Times New Roman" w:hAnsi="Times New Roman"/>
                <w:szCs w:val="22"/>
              </w:rPr>
              <w:t>Odúčtováno v plném rozsahu (</w:t>
            </w:r>
            <w:proofErr w:type="spellStart"/>
            <w:r w:rsidR="00386386" w:rsidRPr="00463E1A">
              <w:rPr>
                <w:rFonts w:ascii="Times New Roman" w:hAnsi="Times New Roman"/>
                <w:szCs w:val="22"/>
              </w:rPr>
              <w:t>Entirely</w:t>
            </w:r>
            <w:proofErr w:type="spellEnd"/>
            <w:r w:rsidR="00386386" w:rsidRPr="00463E1A">
              <w:rPr>
                <w:rFonts w:ascii="Times New Roman" w:hAnsi="Times New Roman"/>
                <w:szCs w:val="22"/>
              </w:rPr>
              <w:t xml:space="preserve"> </w:t>
            </w:r>
            <w:proofErr w:type="spellStart"/>
            <w:r w:rsidR="00386386" w:rsidRPr="00463E1A">
              <w:rPr>
                <w:rFonts w:ascii="Times New Roman" w:hAnsi="Times New Roman"/>
                <w:szCs w:val="22"/>
              </w:rPr>
              <w:t>derecognised</w:t>
            </w:r>
            <w:proofErr w:type="spellEnd"/>
            <w:r w:rsidR="00386386" w:rsidRPr="00463E1A">
              <w:rPr>
                <w:rFonts w:ascii="Times New Roman" w:hAnsi="Times New Roman"/>
                <w:szCs w:val="22"/>
              </w:rPr>
              <w:t>)</w:t>
            </w:r>
          </w:p>
        </w:tc>
      </w:tr>
      <w:tr w:rsidR="00386386" w:rsidRPr="00463E1A" w:rsidTr="006E4B75">
        <w:tc>
          <w:tcPr>
            <w:tcW w:w="4606" w:type="dxa"/>
          </w:tcPr>
          <w:p w:rsidR="00386386" w:rsidRPr="00463E1A" w:rsidRDefault="00386386" w:rsidP="00447B0E">
            <w:pPr>
              <w:spacing w:after="120"/>
              <w:jc w:val="both"/>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Kumulované úhrady od selhání (</w:t>
            </w:r>
            <w:proofErr w:type="spellStart"/>
            <w:r w:rsidRPr="00463E1A">
              <w:rPr>
                <w:rFonts w:ascii="Times New Roman" w:hAnsi="Times New Roman"/>
                <w:b/>
                <w:color w:val="365F91" w:themeColor="accent1" w:themeShade="BF"/>
                <w:szCs w:val="22"/>
              </w:rPr>
              <w:t>Cumulative</w:t>
            </w:r>
            <w:proofErr w:type="spellEnd"/>
            <w:r w:rsidRPr="00463E1A">
              <w:rPr>
                <w:rFonts w:ascii="Times New Roman" w:hAnsi="Times New Roman"/>
                <w:b/>
                <w:color w:val="365F91" w:themeColor="accent1" w:themeShade="BF"/>
                <w:szCs w:val="22"/>
              </w:rPr>
              <w:t xml:space="preserve"> </w:t>
            </w:r>
            <w:proofErr w:type="spellStart"/>
            <w:r w:rsidRPr="00463E1A">
              <w:rPr>
                <w:rFonts w:ascii="Times New Roman" w:hAnsi="Times New Roman"/>
                <w:b/>
                <w:color w:val="365F91" w:themeColor="accent1" w:themeShade="BF"/>
                <w:szCs w:val="22"/>
              </w:rPr>
              <w:t>recoveries</w:t>
            </w:r>
            <w:proofErr w:type="spellEnd"/>
            <w:r w:rsidRPr="00463E1A">
              <w:rPr>
                <w:rFonts w:ascii="Times New Roman" w:hAnsi="Times New Roman"/>
                <w:b/>
                <w:color w:val="365F91" w:themeColor="accent1" w:themeShade="BF"/>
                <w:szCs w:val="22"/>
              </w:rPr>
              <w:t xml:space="preserve"> </w:t>
            </w:r>
            <w:proofErr w:type="spellStart"/>
            <w:r w:rsidRPr="00463E1A">
              <w:rPr>
                <w:rFonts w:ascii="Times New Roman" w:hAnsi="Times New Roman"/>
                <w:b/>
                <w:color w:val="365F91" w:themeColor="accent1" w:themeShade="BF"/>
                <w:szCs w:val="22"/>
              </w:rPr>
              <w:t>since</w:t>
            </w:r>
            <w:proofErr w:type="spellEnd"/>
            <w:r w:rsidRPr="00463E1A">
              <w:rPr>
                <w:rFonts w:ascii="Times New Roman" w:hAnsi="Times New Roman"/>
                <w:b/>
                <w:color w:val="365F91" w:themeColor="accent1" w:themeShade="BF"/>
                <w:szCs w:val="22"/>
              </w:rPr>
              <w:t xml:space="preserve"> default</w:t>
            </w:r>
          </w:p>
        </w:tc>
        <w:tc>
          <w:tcPr>
            <w:tcW w:w="4606" w:type="dxa"/>
          </w:tcPr>
          <w:p w:rsidR="00386386" w:rsidRPr="00463E1A" w:rsidRDefault="00386386" w:rsidP="00447B0E">
            <w:pPr>
              <w:spacing w:after="120"/>
              <w:jc w:val="both"/>
              <w:rPr>
                <w:rFonts w:ascii="Times New Roman" w:hAnsi="Times New Roman"/>
                <w:szCs w:val="22"/>
              </w:rPr>
            </w:pPr>
            <w:r w:rsidRPr="00463E1A">
              <w:rPr>
                <w:rFonts w:ascii="Times New Roman" w:hAnsi="Times New Roman"/>
                <w:szCs w:val="22"/>
              </w:rPr>
              <w:t>&gt;=0</w:t>
            </w:r>
          </w:p>
        </w:tc>
      </w:tr>
      <w:tr w:rsidR="00ED1000" w:rsidRPr="00463E1A" w:rsidTr="006E4B75">
        <w:tc>
          <w:tcPr>
            <w:tcW w:w="4606" w:type="dxa"/>
          </w:tcPr>
          <w:p w:rsidR="00ED1000" w:rsidRPr="00463E1A" w:rsidRDefault="00ED1000" w:rsidP="00447B0E">
            <w:pPr>
              <w:spacing w:after="120"/>
              <w:jc w:val="both"/>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Stav výkonnosti instrumentu (</w:t>
            </w:r>
            <w:proofErr w:type="spellStart"/>
            <w:r w:rsidRPr="00463E1A">
              <w:rPr>
                <w:rFonts w:ascii="Times New Roman" w:hAnsi="Times New Roman"/>
                <w:b/>
                <w:color w:val="365F91" w:themeColor="accent1" w:themeShade="BF"/>
                <w:szCs w:val="22"/>
              </w:rPr>
              <w:t>Performing</w:t>
            </w:r>
            <w:proofErr w:type="spellEnd"/>
            <w:r w:rsidRPr="00463E1A">
              <w:rPr>
                <w:rFonts w:ascii="Times New Roman" w:hAnsi="Times New Roman"/>
                <w:b/>
                <w:color w:val="365F91" w:themeColor="accent1" w:themeShade="BF"/>
                <w:szCs w:val="22"/>
              </w:rPr>
              <w:t xml:space="preserve"> status </w:t>
            </w:r>
            <w:proofErr w:type="spellStart"/>
            <w:r w:rsidRPr="00463E1A">
              <w:rPr>
                <w:rFonts w:ascii="Times New Roman" w:hAnsi="Times New Roman"/>
                <w:b/>
                <w:color w:val="365F91" w:themeColor="accent1" w:themeShade="BF"/>
                <w:szCs w:val="22"/>
              </w:rPr>
              <w:t>of</w:t>
            </w:r>
            <w:proofErr w:type="spellEnd"/>
            <w:r w:rsidRPr="00463E1A">
              <w:rPr>
                <w:rFonts w:ascii="Times New Roman" w:hAnsi="Times New Roman"/>
                <w:b/>
                <w:color w:val="365F91" w:themeColor="accent1" w:themeShade="BF"/>
                <w:szCs w:val="22"/>
              </w:rPr>
              <w:t xml:space="preserve"> </w:t>
            </w:r>
            <w:proofErr w:type="spellStart"/>
            <w:r w:rsidRPr="00463E1A">
              <w:rPr>
                <w:rFonts w:ascii="Times New Roman" w:hAnsi="Times New Roman"/>
                <w:b/>
                <w:color w:val="365F91" w:themeColor="accent1" w:themeShade="BF"/>
                <w:szCs w:val="22"/>
              </w:rPr>
              <w:t>the</w:t>
            </w:r>
            <w:proofErr w:type="spellEnd"/>
            <w:r w:rsidRPr="00463E1A">
              <w:rPr>
                <w:rFonts w:ascii="Times New Roman" w:hAnsi="Times New Roman"/>
                <w:b/>
                <w:color w:val="365F91" w:themeColor="accent1" w:themeShade="BF"/>
                <w:szCs w:val="22"/>
              </w:rPr>
              <w:t xml:space="preserve"> instrument)</w:t>
            </w:r>
          </w:p>
        </w:tc>
        <w:tc>
          <w:tcPr>
            <w:tcW w:w="4606" w:type="dxa"/>
          </w:tcPr>
          <w:p w:rsidR="00ED1000" w:rsidRPr="00463E1A" w:rsidRDefault="007127E6" w:rsidP="007127E6">
            <w:pPr>
              <w:pStyle w:val="ListParagraph"/>
              <w:numPr>
                <w:ilvl w:val="0"/>
                <w:numId w:val="13"/>
              </w:numPr>
              <w:spacing w:after="120"/>
              <w:jc w:val="both"/>
              <w:rPr>
                <w:rFonts w:ascii="Times New Roman" w:hAnsi="Times New Roman"/>
                <w:szCs w:val="22"/>
              </w:rPr>
            </w:pPr>
            <w:r w:rsidRPr="00463E1A">
              <w:rPr>
                <w:rFonts w:ascii="Times New Roman" w:hAnsi="Times New Roman"/>
                <w:szCs w:val="22"/>
              </w:rPr>
              <w:t>20 – Nevýkonné instrumenty</w:t>
            </w:r>
          </w:p>
          <w:p w:rsidR="007127E6" w:rsidRPr="00463E1A" w:rsidRDefault="007127E6" w:rsidP="007127E6">
            <w:pPr>
              <w:pStyle w:val="ListParagraph"/>
              <w:numPr>
                <w:ilvl w:val="0"/>
                <w:numId w:val="13"/>
              </w:numPr>
              <w:spacing w:after="120"/>
              <w:jc w:val="both"/>
              <w:rPr>
                <w:rFonts w:ascii="Times New Roman" w:hAnsi="Times New Roman"/>
                <w:szCs w:val="22"/>
              </w:rPr>
            </w:pPr>
            <w:r w:rsidRPr="00463E1A">
              <w:rPr>
                <w:rFonts w:ascii="Times New Roman" w:hAnsi="Times New Roman"/>
                <w:szCs w:val="22"/>
              </w:rPr>
              <w:t>NTRQ</w:t>
            </w:r>
          </w:p>
        </w:tc>
      </w:tr>
    </w:tbl>
    <w:p w:rsidR="00B34439" w:rsidRPr="00463E1A" w:rsidRDefault="00B34439" w:rsidP="00447B0E">
      <w:pPr>
        <w:spacing w:after="120" w:line="240" w:lineRule="auto"/>
        <w:jc w:val="both"/>
        <w:rPr>
          <w:szCs w:val="22"/>
        </w:rPr>
      </w:pPr>
    </w:p>
    <w:p w:rsidR="002E7506" w:rsidRPr="00463E1A" w:rsidRDefault="00835F03" w:rsidP="002E7506">
      <w:pPr>
        <w:spacing w:after="120"/>
        <w:jc w:val="both"/>
        <w:rPr>
          <w:rStyle w:val="SubtleReference"/>
          <w:rFonts w:ascii="Times New Roman" w:hAnsi="Times New Roman"/>
          <w:szCs w:val="22"/>
        </w:rPr>
      </w:pPr>
      <w:r w:rsidRPr="00463E1A">
        <w:rPr>
          <w:szCs w:val="22"/>
        </w:rPr>
        <w:t xml:space="preserve">Ostatní atributy podléhají obecně platným pravidlům popsaným </w:t>
      </w:r>
      <w:r w:rsidR="0074094C" w:rsidRPr="00463E1A">
        <w:rPr>
          <w:szCs w:val="22"/>
        </w:rPr>
        <w:t>v</w:t>
      </w:r>
      <w:r w:rsidR="002E7506" w:rsidRPr="00463E1A">
        <w:rPr>
          <w:szCs w:val="22"/>
        </w:rPr>
        <w:t> </w:t>
      </w:r>
      <w:r w:rsidR="0074094C" w:rsidRPr="00463E1A">
        <w:rPr>
          <w:szCs w:val="22"/>
        </w:rPr>
        <w:t>dokumentu</w:t>
      </w:r>
      <w:r w:rsidR="002E7506" w:rsidRPr="00463E1A">
        <w:rPr>
          <w:szCs w:val="22"/>
        </w:rPr>
        <w:t xml:space="preserve"> </w:t>
      </w:r>
      <w:r w:rsidR="002E7506" w:rsidRPr="00463E1A">
        <w:rPr>
          <w:rStyle w:val="SubtleReference"/>
          <w:rFonts w:ascii="Times New Roman" w:hAnsi="Times New Roman"/>
          <w:szCs w:val="22"/>
        </w:rPr>
        <w:fldChar w:fldCharType="begin"/>
      </w:r>
      <w:r w:rsidR="002E7506" w:rsidRPr="00463E1A">
        <w:rPr>
          <w:rStyle w:val="SubtleReference"/>
          <w:rFonts w:ascii="Times New Roman" w:hAnsi="Times New Roman"/>
          <w:szCs w:val="22"/>
        </w:rPr>
        <w:instrText xml:space="preserve"> REF _Ref270180 \h  \* MERGEFORMAT </w:instrText>
      </w:r>
      <w:r w:rsidR="002E7506" w:rsidRPr="00463E1A">
        <w:rPr>
          <w:rStyle w:val="SubtleReference"/>
          <w:rFonts w:ascii="Times New Roman" w:hAnsi="Times New Roman"/>
          <w:szCs w:val="22"/>
        </w:rPr>
      </w:r>
      <w:r w:rsidR="002E7506" w:rsidRPr="00463E1A">
        <w:rPr>
          <w:rStyle w:val="SubtleReference"/>
          <w:rFonts w:ascii="Times New Roman" w:hAnsi="Times New Roman"/>
          <w:szCs w:val="22"/>
        </w:rPr>
        <w:fldChar w:fldCharType="separate"/>
      </w:r>
      <w:r w:rsidR="00463E1A" w:rsidRPr="00463E1A">
        <w:rPr>
          <w:rStyle w:val="SubtleReference"/>
          <w:rFonts w:ascii="Times New Roman" w:hAnsi="Times New Roman"/>
        </w:rPr>
        <w:t>Kontroly ČNB</w:t>
      </w:r>
      <w:r w:rsidR="002E7506" w:rsidRPr="00463E1A">
        <w:rPr>
          <w:rStyle w:val="SubtleReference"/>
          <w:rFonts w:ascii="Times New Roman" w:hAnsi="Times New Roman"/>
          <w:szCs w:val="22"/>
        </w:rPr>
        <w:fldChar w:fldCharType="end"/>
      </w:r>
      <w:r w:rsidR="002E7506" w:rsidRPr="00463E1A">
        <w:rPr>
          <w:szCs w:val="22"/>
        </w:rPr>
        <w:t>. O </w:t>
      </w:r>
      <w:r w:rsidR="0074094C" w:rsidRPr="00463E1A">
        <w:rPr>
          <w:szCs w:val="22"/>
        </w:rPr>
        <w:t>m</w:t>
      </w:r>
      <w:r w:rsidR="006E4B75" w:rsidRPr="00463E1A">
        <w:rPr>
          <w:szCs w:val="22"/>
        </w:rPr>
        <w:t>ožnost</w:t>
      </w:r>
      <w:r w:rsidR="0074094C" w:rsidRPr="00463E1A">
        <w:rPr>
          <w:szCs w:val="22"/>
        </w:rPr>
        <w:t>i</w:t>
      </w:r>
      <w:r w:rsidR="006E4B75" w:rsidRPr="00463E1A">
        <w:rPr>
          <w:szCs w:val="22"/>
        </w:rPr>
        <w:t xml:space="preserve"> vyplnit atribut hodnotou NTRQ </w:t>
      </w:r>
      <w:r w:rsidR="0074094C" w:rsidRPr="00463E1A">
        <w:rPr>
          <w:szCs w:val="22"/>
        </w:rPr>
        <w:t>se rozhoduje</w:t>
      </w:r>
      <w:r w:rsidR="006E4B75" w:rsidRPr="00463E1A">
        <w:rPr>
          <w:szCs w:val="22"/>
        </w:rPr>
        <w:t xml:space="preserve"> dle</w:t>
      </w:r>
      <w:bookmarkStart w:id="33" w:name="_Toc536627104"/>
      <w:r w:rsidR="002E7506" w:rsidRPr="00463E1A">
        <w:rPr>
          <w:szCs w:val="22"/>
        </w:rPr>
        <w:t xml:space="preserve"> </w:t>
      </w:r>
      <w:r w:rsidR="002E7506" w:rsidRPr="00463E1A">
        <w:rPr>
          <w:rStyle w:val="SubtleReference"/>
          <w:rFonts w:ascii="Times New Roman" w:hAnsi="Times New Roman"/>
          <w:szCs w:val="22"/>
        </w:rPr>
        <w:fldChar w:fldCharType="begin"/>
      </w:r>
      <w:r w:rsidR="002E7506" w:rsidRPr="00463E1A">
        <w:rPr>
          <w:rStyle w:val="SubtleReference"/>
          <w:rFonts w:ascii="Times New Roman" w:hAnsi="Times New Roman"/>
          <w:szCs w:val="22"/>
        </w:rPr>
        <w:instrText xml:space="preserve"> REF _Ref178869 \h  \* MERGEFORMAT </w:instrText>
      </w:r>
      <w:r w:rsidR="002E7506" w:rsidRPr="00463E1A">
        <w:rPr>
          <w:rStyle w:val="SubtleReference"/>
          <w:rFonts w:ascii="Times New Roman" w:hAnsi="Times New Roman"/>
          <w:szCs w:val="22"/>
        </w:rPr>
      </w:r>
      <w:r w:rsidR="002E7506" w:rsidRPr="00463E1A">
        <w:rPr>
          <w:rStyle w:val="SubtleReference"/>
          <w:rFonts w:ascii="Times New Roman" w:hAnsi="Times New Roman"/>
          <w:szCs w:val="22"/>
        </w:rPr>
        <w:fldChar w:fldCharType="separate"/>
      </w:r>
      <w:r w:rsidR="00463E1A" w:rsidRPr="00463E1A">
        <w:rPr>
          <w:rStyle w:val="SubtleReference"/>
          <w:rFonts w:ascii="Times New Roman" w:hAnsi="Times New Roman"/>
        </w:rPr>
        <w:t>Obrázek 1: Pravidla plnění atributu hodnotou NTRQ</w:t>
      </w:r>
      <w:r w:rsidR="002E7506" w:rsidRPr="00463E1A">
        <w:rPr>
          <w:rStyle w:val="SubtleReference"/>
          <w:rFonts w:ascii="Times New Roman" w:hAnsi="Times New Roman"/>
          <w:szCs w:val="22"/>
        </w:rPr>
        <w:fldChar w:fldCharType="end"/>
      </w:r>
    </w:p>
    <w:p w:rsidR="002E7506" w:rsidRPr="00463E1A" w:rsidRDefault="002E7506" w:rsidP="002E7506">
      <w:pPr>
        <w:spacing w:after="120"/>
        <w:jc w:val="both"/>
        <w:rPr>
          <w:szCs w:val="22"/>
        </w:rPr>
      </w:pPr>
    </w:p>
    <w:p w:rsidR="002E7506" w:rsidRPr="00463E1A" w:rsidRDefault="002E7506" w:rsidP="002E7506">
      <w:pPr>
        <w:spacing w:after="120"/>
        <w:jc w:val="both"/>
        <w:rPr>
          <w:szCs w:val="22"/>
        </w:rPr>
      </w:pPr>
    </w:p>
    <w:p w:rsidR="009B558D" w:rsidRPr="00463E1A" w:rsidRDefault="009B558D" w:rsidP="00FD1152">
      <w:pPr>
        <w:pStyle w:val="Heading2"/>
        <w:rPr>
          <w:rFonts w:ascii="Times New Roman" w:hAnsi="Times New Roman"/>
        </w:rPr>
      </w:pPr>
      <w:bookmarkStart w:id="34" w:name="_Toc270685"/>
      <w:bookmarkStart w:id="35" w:name="_Toc769533"/>
      <w:r w:rsidRPr="00463E1A">
        <w:rPr>
          <w:rFonts w:ascii="Times New Roman" w:hAnsi="Times New Roman"/>
        </w:rPr>
        <w:t xml:space="preserve">Příklady plnění </w:t>
      </w:r>
      <w:proofErr w:type="spellStart"/>
      <w:r w:rsidRPr="00463E1A">
        <w:rPr>
          <w:rFonts w:ascii="Times New Roman" w:hAnsi="Times New Roman"/>
        </w:rPr>
        <w:t>atri</w:t>
      </w:r>
      <w:r w:rsidRPr="00463E1A">
        <w:rPr>
          <w:rStyle w:val="Heading2Char"/>
          <w:rFonts w:ascii="Times New Roman" w:hAnsi="Times New Roman"/>
        </w:rPr>
        <w:t>b</w:t>
      </w:r>
      <w:r w:rsidRPr="00463E1A">
        <w:rPr>
          <w:rFonts w:ascii="Times New Roman" w:hAnsi="Times New Roman"/>
        </w:rPr>
        <w:t>utů</w:t>
      </w:r>
      <w:bookmarkEnd w:id="33"/>
      <w:bookmarkEnd w:id="34"/>
      <w:bookmarkEnd w:id="35"/>
      <w:proofErr w:type="spellEnd"/>
    </w:p>
    <w:p w:rsidR="00F848C3" w:rsidRPr="00463E1A" w:rsidRDefault="00F848C3" w:rsidP="009F094E">
      <w:pPr>
        <w:pStyle w:val="Nadpis1"/>
        <w:numPr>
          <w:ilvl w:val="0"/>
          <w:numId w:val="0"/>
        </w:numPr>
        <w:ind w:left="360"/>
        <w:rPr>
          <w:rFonts w:ascii="Times New Roman" w:hAnsi="Times New Roman"/>
          <w:sz w:val="22"/>
          <w:szCs w:val="22"/>
        </w:rPr>
      </w:pPr>
    </w:p>
    <w:p w:rsidR="00C662CB" w:rsidRPr="00463E1A" w:rsidRDefault="00F848C3" w:rsidP="00F848C3">
      <w:pPr>
        <w:rPr>
          <w:szCs w:val="22"/>
        </w:rPr>
      </w:pPr>
      <w:r w:rsidRPr="00463E1A">
        <w:rPr>
          <w:szCs w:val="22"/>
        </w:rPr>
        <w:t>Uvažujeme dvě po sobě jdoucí</w:t>
      </w:r>
      <w:r w:rsidR="00C662CB" w:rsidRPr="00463E1A">
        <w:rPr>
          <w:szCs w:val="22"/>
        </w:rPr>
        <w:t xml:space="preserve"> období. Ve</w:t>
      </w:r>
      <w:r w:rsidR="00B64EC8" w:rsidRPr="00463E1A">
        <w:rPr>
          <w:szCs w:val="22"/>
        </w:rPr>
        <w:t xml:space="preserve"> </w:t>
      </w:r>
      <w:r w:rsidRPr="00463E1A">
        <w:rPr>
          <w:szCs w:val="22"/>
        </w:rPr>
        <w:t xml:space="preserve">druhém období dochází k úplnému </w:t>
      </w:r>
      <w:r w:rsidR="0006399F" w:rsidRPr="00463E1A">
        <w:rPr>
          <w:szCs w:val="22"/>
        </w:rPr>
        <w:t>odepsání</w:t>
      </w:r>
      <w:r w:rsidR="00B64EC8" w:rsidRPr="00463E1A">
        <w:rPr>
          <w:szCs w:val="22"/>
        </w:rPr>
        <w:t xml:space="preserve"> instrumentu. </w:t>
      </w:r>
      <w:r w:rsidR="001C17E9" w:rsidRPr="00463E1A">
        <w:rPr>
          <w:szCs w:val="22"/>
        </w:rPr>
        <w:t xml:space="preserve">Pro zachycení kompletní množiny atributů předpokládáme, že </w:t>
      </w:r>
      <w:r w:rsidRPr="00463E1A">
        <w:rPr>
          <w:szCs w:val="22"/>
        </w:rPr>
        <w:t>instrument se odepíše na konci čtvrtletí.</w:t>
      </w:r>
      <w:r w:rsidR="00C662CB" w:rsidRPr="00463E1A">
        <w:rPr>
          <w:szCs w:val="22"/>
        </w:rPr>
        <w:t xml:space="preserve"> Odlišnosti pro měsíce mimo konec čtvrtletí jsou vždy výslovně uvedeny.</w:t>
      </w:r>
    </w:p>
    <w:p w:rsidR="00F848C3" w:rsidRPr="00463E1A" w:rsidRDefault="00F848C3" w:rsidP="00F848C3">
      <w:pPr>
        <w:rPr>
          <w:szCs w:val="22"/>
        </w:rPr>
      </w:pPr>
    </w:p>
    <w:tbl>
      <w:tblPr>
        <w:tblStyle w:val="TableGrid"/>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092"/>
        <w:gridCol w:w="6380"/>
      </w:tblGrid>
      <w:tr w:rsidR="006E4B75" w:rsidRPr="00463E1A" w:rsidTr="006D5324">
        <w:tc>
          <w:tcPr>
            <w:tcW w:w="2092" w:type="dxa"/>
          </w:tcPr>
          <w:p w:rsidR="006E4B75" w:rsidRPr="00463E1A" w:rsidRDefault="006E4B75" w:rsidP="006E4B75">
            <w:pPr>
              <w:jc w:val="left"/>
              <w:rPr>
                <w:rFonts w:ascii="Times New Roman" w:hAnsi="Times New Roman"/>
                <w:i/>
                <w:szCs w:val="22"/>
              </w:rPr>
            </w:pPr>
            <w:r w:rsidRPr="00463E1A">
              <w:rPr>
                <w:rFonts w:ascii="Times New Roman" w:hAnsi="Times New Roman"/>
                <w:i/>
                <w:szCs w:val="22"/>
              </w:rPr>
              <w:t>Legenda</w:t>
            </w:r>
            <w:r w:rsidR="00C20959" w:rsidRPr="00463E1A">
              <w:rPr>
                <w:rFonts w:ascii="Times New Roman" w:hAnsi="Times New Roman"/>
                <w:i/>
                <w:szCs w:val="22"/>
              </w:rPr>
              <w:t>:</w:t>
            </w:r>
          </w:p>
        </w:tc>
        <w:tc>
          <w:tcPr>
            <w:tcW w:w="6380" w:type="dxa"/>
          </w:tcPr>
          <w:p w:rsidR="006E4B75" w:rsidRPr="00463E1A" w:rsidRDefault="006E4B75" w:rsidP="00C662CB">
            <w:pPr>
              <w:rPr>
                <w:rFonts w:ascii="Times New Roman" w:hAnsi="Times New Roman"/>
                <w:i/>
                <w:szCs w:val="22"/>
              </w:rPr>
            </w:pPr>
          </w:p>
        </w:tc>
      </w:tr>
      <w:tr w:rsidR="00C662CB" w:rsidRPr="00463E1A" w:rsidTr="006D5324">
        <w:tc>
          <w:tcPr>
            <w:tcW w:w="2092" w:type="dxa"/>
          </w:tcPr>
          <w:p w:rsidR="00C662CB" w:rsidRPr="00463E1A" w:rsidRDefault="00C662CB" w:rsidP="00C662CB">
            <w:pPr>
              <w:jc w:val="left"/>
              <w:rPr>
                <w:rFonts w:ascii="Times New Roman" w:hAnsi="Times New Roman"/>
                <w:i/>
                <w:szCs w:val="22"/>
              </w:rPr>
            </w:pPr>
            <w:proofErr w:type="spellStart"/>
            <w:r w:rsidRPr="00463E1A">
              <w:rPr>
                <w:rFonts w:ascii="Times New Roman" w:hAnsi="Times New Roman"/>
                <w:i/>
                <w:szCs w:val="22"/>
              </w:rPr>
              <w:t>value</w:t>
            </w:r>
            <w:proofErr w:type="spellEnd"/>
          </w:p>
        </w:tc>
        <w:tc>
          <w:tcPr>
            <w:tcW w:w="6380" w:type="dxa"/>
          </w:tcPr>
          <w:p w:rsidR="00C662CB" w:rsidRPr="00463E1A" w:rsidRDefault="00C662CB" w:rsidP="00C662CB">
            <w:pPr>
              <w:jc w:val="left"/>
              <w:rPr>
                <w:rFonts w:ascii="Times New Roman" w:hAnsi="Times New Roman"/>
                <w:i/>
                <w:szCs w:val="22"/>
              </w:rPr>
            </w:pPr>
            <w:r w:rsidRPr="00463E1A">
              <w:rPr>
                <w:rFonts w:ascii="Times New Roman" w:hAnsi="Times New Roman"/>
                <w:i/>
                <w:szCs w:val="22"/>
              </w:rPr>
              <w:t>Hodnota z číselníku</w:t>
            </w:r>
          </w:p>
        </w:tc>
      </w:tr>
      <w:tr w:rsidR="00C662CB" w:rsidRPr="00463E1A" w:rsidTr="006D5324">
        <w:tc>
          <w:tcPr>
            <w:tcW w:w="2092" w:type="dxa"/>
          </w:tcPr>
          <w:p w:rsidR="00C662CB" w:rsidRPr="00463E1A" w:rsidRDefault="00C662CB" w:rsidP="008916B6">
            <w:pPr>
              <w:jc w:val="both"/>
              <w:rPr>
                <w:rFonts w:ascii="Times New Roman" w:hAnsi="Times New Roman"/>
                <w:i/>
                <w:szCs w:val="22"/>
              </w:rPr>
            </w:pPr>
            <w:proofErr w:type="spellStart"/>
            <w:r w:rsidRPr="00463E1A">
              <w:rPr>
                <w:rFonts w:ascii="Times New Roman" w:hAnsi="Times New Roman"/>
                <w:i/>
                <w:szCs w:val="22"/>
              </w:rPr>
              <w:t>dd.mm.yyyy</w:t>
            </w:r>
            <w:proofErr w:type="spellEnd"/>
          </w:p>
        </w:tc>
        <w:tc>
          <w:tcPr>
            <w:tcW w:w="6380" w:type="dxa"/>
          </w:tcPr>
          <w:p w:rsidR="00C662CB" w:rsidRPr="00463E1A" w:rsidRDefault="00C662CB" w:rsidP="008916B6">
            <w:pPr>
              <w:jc w:val="both"/>
              <w:rPr>
                <w:rFonts w:ascii="Times New Roman" w:hAnsi="Times New Roman"/>
                <w:i/>
                <w:szCs w:val="22"/>
              </w:rPr>
            </w:pPr>
            <w:r w:rsidRPr="00463E1A">
              <w:rPr>
                <w:rFonts w:ascii="Times New Roman" w:hAnsi="Times New Roman"/>
                <w:i/>
                <w:szCs w:val="22"/>
              </w:rPr>
              <w:t>Datum ve stanoveném formátu</w:t>
            </w:r>
          </w:p>
        </w:tc>
      </w:tr>
      <w:tr w:rsidR="00C662CB" w:rsidRPr="00463E1A" w:rsidTr="006D5324">
        <w:tc>
          <w:tcPr>
            <w:tcW w:w="2092" w:type="dxa"/>
          </w:tcPr>
          <w:p w:rsidR="00C662CB" w:rsidRPr="00463E1A" w:rsidRDefault="00C662CB" w:rsidP="008916B6">
            <w:pPr>
              <w:jc w:val="both"/>
              <w:rPr>
                <w:rFonts w:ascii="Times New Roman" w:hAnsi="Times New Roman"/>
                <w:i/>
                <w:szCs w:val="22"/>
              </w:rPr>
            </w:pPr>
            <w:r w:rsidRPr="00463E1A">
              <w:rPr>
                <w:rFonts w:ascii="Times New Roman" w:hAnsi="Times New Roman"/>
                <w:i/>
                <w:szCs w:val="22"/>
              </w:rPr>
              <w:t>x</w:t>
            </w:r>
          </w:p>
        </w:tc>
        <w:tc>
          <w:tcPr>
            <w:tcW w:w="6380" w:type="dxa"/>
          </w:tcPr>
          <w:p w:rsidR="00C662CB" w:rsidRPr="00463E1A" w:rsidRDefault="00C662CB" w:rsidP="008916B6">
            <w:pPr>
              <w:jc w:val="both"/>
              <w:rPr>
                <w:rFonts w:ascii="Times New Roman" w:hAnsi="Times New Roman"/>
                <w:i/>
                <w:szCs w:val="22"/>
              </w:rPr>
            </w:pPr>
            <w:r w:rsidRPr="00463E1A">
              <w:rPr>
                <w:rFonts w:ascii="Times New Roman" w:hAnsi="Times New Roman"/>
                <w:i/>
                <w:szCs w:val="22"/>
              </w:rPr>
              <w:t>Zástupný znak pro číslo (většinou v kombinaci s desetinnou čárkou)</w:t>
            </w:r>
          </w:p>
        </w:tc>
      </w:tr>
      <w:tr w:rsidR="00C662CB" w:rsidRPr="00463E1A" w:rsidTr="006D5324">
        <w:tc>
          <w:tcPr>
            <w:tcW w:w="2092" w:type="dxa"/>
          </w:tcPr>
          <w:p w:rsidR="00C662CB" w:rsidRPr="00463E1A" w:rsidRDefault="00C662CB" w:rsidP="008916B6">
            <w:pPr>
              <w:jc w:val="both"/>
              <w:rPr>
                <w:rFonts w:ascii="Times New Roman" w:hAnsi="Times New Roman"/>
                <w:i/>
                <w:szCs w:val="22"/>
              </w:rPr>
            </w:pPr>
            <w:r w:rsidRPr="00463E1A">
              <w:rPr>
                <w:rFonts w:ascii="Times New Roman" w:hAnsi="Times New Roman"/>
                <w:i/>
                <w:szCs w:val="22"/>
              </w:rPr>
              <w:t>NTAP</w:t>
            </w:r>
          </w:p>
        </w:tc>
        <w:tc>
          <w:tcPr>
            <w:tcW w:w="6380" w:type="dxa"/>
          </w:tcPr>
          <w:p w:rsidR="00C662CB" w:rsidRPr="00463E1A" w:rsidRDefault="00C662CB" w:rsidP="008916B6">
            <w:pPr>
              <w:jc w:val="both"/>
              <w:rPr>
                <w:rFonts w:ascii="Times New Roman" w:hAnsi="Times New Roman"/>
                <w:i/>
                <w:szCs w:val="22"/>
              </w:rPr>
            </w:pPr>
            <w:r w:rsidRPr="00463E1A">
              <w:rPr>
                <w:rFonts w:ascii="Times New Roman" w:hAnsi="Times New Roman"/>
                <w:i/>
                <w:szCs w:val="22"/>
              </w:rPr>
              <w:t xml:space="preserve">Not </w:t>
            </w:r>
            <w:proofErr w:type="spellStart"/>
            <w:r w:rsidRPr="00463E1A">
              <w:rPr>
                <w:rFonts w:ascii="Times New Roman" w:hAnsi="Times New Roman"/>
                <w:i/>
                <w:szCs w:val="22"/>
              </w:rPr>
              <w:t>applicable</w:t>
            </w:r>
            <w:proofErr w:type="spellEnd"/>
          </w:p>
        </w:tc>
      </w:tr>
      <w:tr w:rsidR="00C662CB" w:rsidRPr="00463E1A" w:rsidTr="006D5324">
        <w:tc>
          <w:tcPr>
            <w:tcW w:w="2092" w:type="dxa"/>
          </w:tcPr>
          <w:p w:rsidR="00C662CB" w:rsidRPr="00463E1A" w:rsidRDefault="00C662CB" w:rsidP="008916B6">
            <w:pPr>
              <w:jc w:val="both"/>
              <w:rPr>
                <w:rFonts w:ascii="Times New Roman" w:hAnsi="Times New Roman"/>
                <w:i/>
                <w:szCs w:val="22"/>
              </w:rPr>
            </w:pPr>
            <w:proofErr w:type="spellStart"/>
            <w:r w:rsidRPr="00463E1A">
              <w:rPr>
                <w:rFonts w:ascii="Times New Roman" w:hAnsi="Times New Roman"/>
                <w:i/>
                <w:szCs w:val="22"/>
              </w:rPr>
              <w:t>String</w:t>
            </w:r>
            <w:proofErr w:type="spellEnd"/>
          </w:p>
        </w:tc>
        <w:tc>
          <w:tcPr>
            <w:tcW w:w="6380" w:type="dxa"/>
          </w:tcPr>
          <w:p w:rsidR="00C662CB" w:rsidRPr="00463E1A" w:rsidRDefault="00C662CB" w:rsidP="008916B6">
            <w:pPr>
              <w:jc w:val="both"/>
              <w:rPr>
                <w:rFonts w:ascii="Times New Roman" w:hAnsi="Times New Roman"/>
                <w:i/>
                <w:szCs w:val="22"/>
              </w:rPr>
            </w:pPr>
            <w:r w:rsidRPr="00463E1A">
              <w:rPr>
                <w:rFonts w:ascii="Times New Roman" w:hAnsi="Times New Roman"/>
                <w:i/>
                <w:szCs w:val="22"/>
              </w:rPr>
              <w:t>Kombinace alfanumerických znaků</w:t>
            </w:r>
          </w:p>
        </w:tc>
      </w:tr>
      <w:tr w:rsidR="00C662CB" w:rsidRPr="00463E1A" w:rsidTr="006D5324">
        <w:tc>
          <w:tcPr>
            <w:tcW w:w="2092" w:type="dxa"/>
          </w:tcPr>
          <w:p w:rsidR="00C662CB" w:rsidRPr="00463E1A" w:rsidRDefault="00C662CB" w:rsidP="008916B6">
            <w:pPr>
              <w:jc w:val="both"/>
              <w:rPr>
                <w:rFonts w:ascii="Times New Roman" w:hAnsi="Times New Roman"/>
                <w:i/>
                <w:szCs w:val="22"/>
              </w:rPr>
            </w:pPr>
            <w:r w:rsidRPr="00463E1A">
              <w:rPr>
                <w:rFonts w:ascii="Times New Roman" w:hAnsi="Times New Roman"/>
                <w:i/>
                <w:szCs w:val="22"/>
              </w:rPr>
              <w:t>RIAD_IDK</w:t>
            </w:r>
          </w:p>
        </w:tc>
        <w:tc>
          <w:tcPr>
            <w:tcW w:w="6380" w:type="dxa"/>
          </w:tcPr>
          <w:p w:rsidR="00C662CB" w:rsidRPr="00463E1A" w:rsidRDefault="006D5324" w:rsidP="006D5324">
            <w:pPr>
              <w:jc w:val="both"/>
              <w:rPr>
                <w:rFonts w:ascii="Times New Roman" w:hAnsi="Times New Roman"/>
                <w:i/>
                <w:szCs w:val="22"/>
              </w:rPr>
            </w:pPr>
            <w:r w:rsidRPr="00463E1A">
              <w:rPr>
                <w:rFonts w:ascii="Times New Roman" w:hAnsi="Times New Roman"/>
                <w:i/>
                <w:szCs w:val="22"/>
              </w:rPr>
              <w:t>Identifikátor protistrany získaný z RIAD</w:t>
            </w:r>
          </w:p>
        </w:tc>
      </w:tr>
    </w:tbl>
    <w:p w:rsidR="006D5324" w:rsidRPr="00463E1A" w:rsidRDefault="006D5324" w:rsidP="006D5324">
      <w:pPr>
        <w:pStyle w:val="Caption"/>
        <w:rPr>
          <w:rFonts w:ascii="Times New Roman" w:hAnsi="Times New Roman"/>
          <w:szCs w:val="22"/>
        </w:rPr>
      </w:pPr>
    </w:p>
    <w:tbl>
      <w:tblPr>
        <w:tblStyle w:val="TableGrid"/>
        <w:tblW w:w="9457" w:type="dxa"/>
        <w:tblLook w:val="04A0" w:firstRow="1" w:lastRow="0" w:firstColumn="1" w:lastColumn="0" w:noHBand="0" w:noVBand="1"/>
      </w:tblPr>
      <w:tblGrid>
        <w:gridCol w:w="2185"/>
        <w:gridCol w:w="1486"/>
        <w:gridCol w:w="1486"/>
        <w:gridCol w:w="4300"/>
      </w:tblGrid>
      <w:tr w:rsidR="0074094C" w:rsidRPr="00463E1A" w:rsidTr="006D5324">
        <w:tc>
          <w:tcPr>
            <w:tcW w:w="9457" w:type="dxa"/>
            <w:gridSpan w:val="4"/>
            <w:tcBorders>
              <w:left w:val="nil"/>
              <w:right w:val="nil"/>
            </w:tcBorders>
            <w:vAlign w:val="center"/>
          </w:tcPr>
          <w:p w:rsidR="0074094C" w:rsidRPr="00463E1A" w:rsidRDefault="0074094C" w:rsidP="0074094C">
            <w:pPr>
              <w:pStyle w:val="Caption"/>
              <w:rPr>
                <w:rFonts w:ascii="Times New Roman" w:hAnsi="Times New Roman"/>
                <w:szCs w:val="22"/>
              </w:rPr>
            </w:pPr>
            <w:r w:rsidRPr="00463E1A">
              <w:rPr>
                <w:rFonts w:ascii="Times New Roman" w:hAnsi="Times New Roman"/>
                <w:szCs w:val="22"/>
              </w:rPr>
              <w:t xml:space="preserve">Příklad </w:t>
            </w:r>
            <w:r w:rsidR="00382E88" w:rsidRPr="00463E1A">
              <w:rPr>
                <w:rFonts w:ascii="Times New Roman" w:hAnsi="Times New Roman"/>
                <w:szCs w:val="22"/>
              </w:rPr>
              <w:fldChar w:fldCharType="begin"/>
            </w:r>
            <w:r w:rsidR="00382E88" w:rsidRPr="00463E1A">
              <w:rPr>
                <w:rFonts w:ascii="Times New Roman" w:hAnsi="Times New Roman"/>
                <w:szCs w:val="22"/>
              </w:rPr>
              <w:instrText xml:space="preserve"> SEQ Příklad \* ARABIC </w:instrText>
            </w:r>
            <w:r w:rsidR="00382E88" w:rsidRPr="00463E1A">
              <w:rPr>
                <w:rFonts w:ascii="Times New Roman" w:hAnsi="Times New Roman"/>
                <w:szCs w:val="22"/>
              </w:rPr>
              <w:fldChar w:fldCharType="separate"/>
            </w:r>
            <w:r w:rsidR="00463E1A">
              <w:rPr>
                <w:rFonts w:ascii="Times New Roman" w:hAnsi="Times New Roman"/>
                <w:noProof/>
                <w:szCs w:val="22"/>
              </w:rPr>
              <w:t>2</w:t>
            </w:r>
            <w:r w:rsidR="00382E88" w:rsidRPr="00463E1A">
              <w:rPr>
                <w:rFonts w:ascii="Times New Roman" w:hAnsi="Times New Roman"/>
                <w:noProof/>
                <w:szCs w:val="22"/>
              </w:rPr>
              <w:fldChar w:fldCharType="end"/>
            </w:r>
            <w:r w:rsidRPr="00463E1A">
              <w:rPr>
                <w:rFonts w:ascii="Times New Roman" w:hAnsi="Times New Roman"/>
                <w:szCs w:val="22"/>
              </w:rPr>
              <w:t>: Plnění atributů pro plně odepsané instrumenty</w:t>
            </w:r>
          </w:p>
        </w:tc>
      </w:tr>
      <w:tr w:rsidR="0074094C" w:rsidRPr="00463E1A" w:rsidTr="006D5324">
        <w:tc>
          <w:tcPr>
            <w:tcW w:w="9457" w:type="dxa"/>
            <w:gridSpan w:val="4"/>
            <w:tcBorders>
              <w:left w:val="nil"/>
              <w:right w:val="nil"/>
            </w:tcBorders>
            <w:vAlign w:val="center"/>
          </w:tcPr>
          <w:p w:rsidR="0074094C" w:rsidRPr="00463E1A" w:rsidRDefault="0074094C" w:rsidP="00912C03">
            <w:pPr>
              <w:spacing w:before="120" w:after="240"/>
              <w:jc w:val="left"/>
              <w:rPr>
                <w:rFonts w:ascii="Times New Roman" w:hAnsi="Times New Roman"/>
                <w:b/>
                <w:color w:val="365F91" w:themeColor="accent1" w:themeShade="BF"/>
                <w:szCs w:val="22"/>
              </w:rPr>
            </w:pPr>
            <w:r w:rsidRPr="00463E1A">
              <w:rPr>
                <w:rFonts w:ascii="Times New Roman" w:hAnsi="Times New Roman"/>
                <w:i/>
                <w:szCs w:val="22"/>
              </w:rPr>
              <w:t xml:space="preserve">Ilustrativní příklad znázorňuje, jakým způsobem jsou reportovány jednotlivé výkazy v případě, že dochází k úplnému odepsání instrumentu. Pro účely tohoto příkladu představuje období (T-1) referenční datum </w:t>
            </w:r>
            <w:r w:rsidR="00912C03" w:rsidRPr="00463E1A">
              <w:rPr>
                <w:rFonts w:ascii="Times New Roman" w:hAnsi="Times New Roman"/>
                <w:i/>
                <w:szCs w:val="22"/>
              </w:rPr>
              <w:t>28/2/2019</w:t>
            </w:r>
            <w:r w:rsidRPr="00463E1A">
              <w:rPr>
                <w:rFonts w:ascii="Times New Roman" w:hAnsi="Times New Roman"/>
                <w:i/>
                <w:szCs w:val="22"/>
              </w:rPr>
              <w:t xml:space="preserve"> a období (T) referenční datum 31/03/2019, což je období, ve kterém došlu k odpisu. Zároveň je pro názornou ukázku vykazování čtvrtletních výkazů použito období (T-3), což představuje referenční období 31/12/2018. Pro zlepšení přehlednosti a orientace nepředstavuje příklad níže reálný reporting (některé kódy jsou nahrazeny konkrétními hodnotami).</w:t>
            </w:r>
          </w:p>
        </w:tc>
      </w:tr>
      <w:tr w:rsidR="0074094C" w:rsidRPr="00463E1A" w:rsidTr="006D5324">
        <w:tc>
          <w:tcPr>
            <w:tcW w:w="9457" w:type="dxa"/>
            <w:gridSpan w:val="4"/>
            <w:tcBorders>
              <w:left w:val="nil"/>
              <w:right w:val="nil"/>
            </w:tcBorders>
            <w:vAlign w:val="center"/>
          </w:tcPr>
          <w:p w:rsidR="0074094C" w:rsidRPr="00463E1A" w:rsidRDefault="0074094C" w:rsidP="0074094C">
            <w:pPr>
              <w:jc w:val="left"/>
              <w:rPr>
                <w:rFonts w:ascii="Times New Roman" w:hAnsi="Times New Roman"/>
                <w:b/>
                <w:color w:val="365F91" w:themeColor="accent1" w:themeShade="BF"/>
                <w:szCs w:val="22"/>
                <w:lang w:val="en-GB"/>
              </w:rPr>
            </w:pPr>
            <w:r w:rsidRPr="00463E1A">
              <w:rPr>
                <w:rFonts w:ascii="Times New Roman" w:hAnsi="Times New Roman"/>
                <w:i/>
                <w:szCs w:val="22"/>
              </w:rPr>
              <w:t xml:space="preserve">Výkaz PANACR02 je tzv. statický výkaz, což znamená, že většina zachycených informací se v průběhu života instrumentu vůbec nemění (v některých případech ani nesmí měnit) a jsou konstantní napříč jednotlivými referenčními obdobími. V případě zcela odepsaných instrumentů je však možné většinu atributů reportovat s hodnotou „Not </w:t>
            </w:r>
            <w:proofErr w:type="spellStart"/>
            <w:r w:rsidRPr="00463E1A">
              <w:rPr>
                <w:rFonts w:ascii="Times New Roman" w:hAnsi="Times New Roman"/>
                <w:i/>
                <w:szCs w:val="22"/>
              </w:rPr>
              <w:t>required</w:t>
            </w:r>
            <w:proofErr w:type="spellEnd"/>
            <w:r w:rsidRPr="00463E1A">
              <w:rPr>
                <w:rFonts w:ascii="Times New Roman" w:hAnsi="Times New Roman"/>
                <w:i/>
                <w:szCs w:val="22"/>
              </w:rPr>
              <w:t>“.</w:t>
            </w:r>
          </w:p>
        </w:tc>
      </w:tr>
      <w:tr w:rsidR="006D5324" w:rsidRPr="00463E1A" w:rsidTr="006D5324">
        <w:tc>
          <w:tcPr>
            <w:tcW w:w="9457" w:type="dxa"/>
            <w:gridSpan w:val="4"/>
            <w:tcBorders>
              <w:left w:val="nil"/>
              <w:right w:val="nil"/>
            </w:tcBorders>
            <w:vAlign w:val="center"/>
          </w:tcPr>
          <w:p w:rsidR="006D5324" w:rsidRPr="00463E1A" w:rsidRDefault="006D5324" w:rsidP="006D5324">
            <w:pPr>
              <w:rPr>
                <w:rFonts w:ascii="Times New Roman" w:hAnsi="Times New Roman"/>
                <w:b/>
                <w:color w:val="365F91" w:themeColor="accent1" w:themeShade="BF"/>
                <w:szCs w:val="22"/>
                <w:lang w:val="en-GB"/>
              </w:rPr>
            </w:pPr>
            <w:r w:rsidRPr="00463E1A">
              <w:rPr>
                <w:rFonts w:ascii="Times New Roman" w:hAnsi="Times New Roman"/>
                <w:b/>
                <w:color w:val="365F91" w:themeColor="accent1" w:themeShade="BF"/>
                <w:szCs w:val="22"/>
                <w:lang w:val="en-GB"/>
              </w:rPr>
              <w:t>PANACR02 (Instrument)</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Atribut</w:t>
            </w:r>
          </w:p>
        </w:tc>
        <w:tc>
          <w:tcPr>
            <w:tcW w:w="1486" w:type="dxa"/>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(T-1)</w:t>
            </w:r>
          </w:p>
        </w:tc>
        <w:tc>
          <w:tcPr>
            <w:tcW w:w="1486" w:type="dxa"/>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(T)</w:t>
            </w:r>
          </w:p>
        </w:tc>
        <w:tc>
          <w:tcPr>
            <w:tcW w:w="4300" w:type="dxa"/>
            <w:tcBorders>
              <w:righ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Poznámka</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Identifikátor sledovaného subjektu</w:t>
            </w:r>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RIAD_IDK</w:t>
            </w:r>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RIAD_IDK</w:t>
            </w:r>
          </w:p>
        </w:tc>
        <w:tc>
          <w:tcPr>
            <w:tcW w:w="4300" w:type="dxa"/>
            <w:tcBorders>
              <w:right w:val="nil"/>
            </w:tcBorders>
            <w:vAlign w:val="center"/>
          </w:tcPr>
          <w:p w:rsidR="006D5324" w:rsidRPr="00463E1A" w:rsidRDefault="006D5324" w:rsidP="006D5324">
            <w:pPr>
              <w:jc w:val="both"/>
              <w:rPr>
                <w:rFonts w:ascii="Times New Roman" w:hAnsi="Times New Roman"/>
                <w:szCs w:val="22"/>
              </w:rPr>
            </w:pPr>
            <w:r w:rsidRPr="00463E1A">
              <w:rPr>
                <w:rFonts w:ascii="Times New Roman" w:hAnsi="Times New Roman"/>
                <w:szCs w:val="22"/>
              </w:rPr>
              <w:t>Atribut se nemění.</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lastRenderedPageBreak/>
              <w:t>Identifikátor kontraktu</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D5324" w:rsidRPr="00463E1A" w:rsidRDefault="006D5324" w:rsidP="006D5324">
            <w:pPr>
              <w:jc w:val="both"/>
              <w:rPr>
                <w:rFonts w:ascii="Times New Roman" w:hAnsi="Times New Roman"/>
                <w:szCs w:val="22"/>
              </w:rPr>
            </w:pPr>
            <w:r w:rsidRPr="00463E1A">
              <w:rPr>
                <w:rFonts w:ascii="Times New Roman" w:hAnsi="Times New Roman"/>
                <w:szCs w:val="22"/>
              </w:rPr>
              <w:t>Atribut se nemění.</w:t>
            </w:r>
          </w:p>
        </w:tc>
      </w:tr>
      <w:tr w:rsidR="006D5324" w:rsidRPr="00463E1A" w:rsidTr="006D5324">
        <w:trPr>
          <w:trHeight w:val="283"/>
        </w:trPr>
        <w:tc>
          <w:tcPr>
            <w:tcW w:w="2185" w:type="dxa"/>
            <w:tcBorders>
              <w:left w:val="nil"/>
              <w:bottom w:val="single" w:sz="4" w:space="0" w:color="auto"/>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Identifikátor instrumentu</w:t>
            </w:r>
          </w:p>
        </w:tc>
        <w:tc>
          <w:tcPr>
            <w:tcW w:w="1486" w:type="dxa"/>
            <w:tcBorders>
              <w:bottom w:val="single" w:sz="4" w:space="0" w:color="auto"/>
            </w:tcBorders>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tcBorders>
              <w:bottom w:val="single" w:sz="4" w:space="0" w:color="auto"/>
            </w:tcBorders>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bottom w:val="single" w:sz="4" w:space="0" w:color="auto"/>
              <w:right w:val="nil"/>
            </w:tcBorders>
            <w:vAlign w:val="center"/>
          </w:tcPr>
          <w:p w:rsidR="006D5324" w:rsidRPr="00463E1A" w:rsidRDefault="006D5324" w:rsidP="006D5324">
            <w:pPr>
              <w:jc w:val="both"/>
              <w:rPr>
                <w:rFonts w:ascii="Times New Roman" w:hAnsi="Times New Roman"/>
                <w:szCs w:val="22"/>
              </w:rPr>
            </w:pPr>
            <w:r w:rsidRPr="00463E1A">
              <w:rPr>
                <w:rFonts w:ascii="Times New Roman" w:hAnsi="Times New Roman"/>
                <w:szCs w:val="22"/>
              </w:rPr>
              <w:t>Atribut se nemění.</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Typ instrumentu</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D5324" w:rsidRPr="00463E1A" w:rsidRDefault="006E78B9" w:rsidP="006D5324">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D5324" w:rsidRPr="00463E1A" w:rsidRDefault="006E78B9" w:rsidP="008916B6">
            <w:pPr>
              <w:jc w:val="both"/>
              <w:rPr>
                <w:rFonts w:ascii="Times New Roman" w:hAnsi="Times New Roman"/>
                <w:szCs w:val="22"/>
              </w:rPr>
            </w:pPr>
            <w:r w:rsidRPr="00463E1A">
              <w:rPr>
                <w:rFonts w:ascii="Times New Roman" w:hAnsi="Times New Roman"/>
                <w:szCs w:val="22"/>
              </w:rPr>
              <w:t>Atribut se nemění.</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Úvěr na projektové financování</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NTRQ</w:t>
            </w:r>
          </w:p>
        </w:tc>
        <w:tc>
          <w:tcPr>
            <w:tcW w:w="4300" w:type="dxa"/>
            <w:tcBorders>
              <w:right w:val="nil"/>
            </w:tcBorders>
            <w:vAlign w:val="center"/>
          </w:tcPr>
          <w:p w:rsidR="006D5324" w:rsidRPr="00463E1A" w:rsidRDefault="008916B6" w:rsidP="006D5324">
            <w:pPr>
              <w:jc w:val="both"/>
              <w:rPr>
                <w:rFonts w:ascii="Times New Roman" w:hAnsi="Times New Roman"/>
                <w:szCs w:val="22"/>
              </w:rPr>
            </w:pPr>
            <w:r w:rsidRPr="00463E1A">
              <w:rPr>
                <w:rFonts w:ascii="Times New Roman" w:hAnsi="Times New Roman"/>
                <w:szCs w:val="22"/>
              </w:rPr>
              <w:t>Atribut může být reportován s hodnotou NTRQ.</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Měna</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D5324" w:rsidRPr="00463E1A" w:rsidRDefault="006D5324" w:rsidP="006D5324">
            <w:pPr>
              <w:jc w:val="both"/>
              <w:rPr>
                <w:rFonts w:ascii="Times New Roman" w:hAnsi="Times New Roman"/>
                <w:szCs w:val="22"/>
              </w:rPr>
            </w:pPr>
            <w:r w:rsidRPr="00463E1A">
              <w:rPr>
                <w:rFonts w:ascii="Times New Roman" w:hAnsi="Times New Roman"/>
                <w:szCs w:val="22"/>
              </w:rPr>
              <w:t>Atribut se nemění.</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Datum vzniku</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dd.mm.yyyy</w:t>
            </w:r>
            <w:proofErr w:type="spellEnd"/>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dd.mm.yyyy</w:t>
            </w:r>
            <w:proofErr w:type="spellEnd"/>
          </w:p>
        </w:tc>
        <w:tc>
          <w:tcPr>
            <w:tcW w:w="4300" w:type="dxa"/>
            <w:tcBorders>
              <w:right w:val="nil"/>
            </w:tcBorders>
            <w:vAlign w:val="center"/>
          </w:tcPr>
          <w:p w:rsidR="006D5324" w:rsidRPr="00463E1A" w:rsidRDefault="006D5324" w:rsidP="006D5324">
            <w:pPr>
              <w:jc w:val="both"/>
              <w:rPr>
                <w:rFonts w:ascii="Times New Roman" w:hAnsi="Times New Roman"/>
                <w:szCs w:val="22"/>
              </w:rPr>
            </w:pPr>
            <w:r w:rsidRPr="00463E1A">
              <w:rPr>
                <w:rFonts w:ascii="Times New Roman" w:hAnsi="Times New Roman"/>
                <w:szCs w:val="22"/>
              </w:rPr>
              <w:t>Atribut se nemění.</w:t>
            </w:r>
          </w:p>
        </w:tc>
      </w:tr>
      <w:tr w:rsidR="006D5324" w:rsidRPr="00463E1A" w:rsidTr="006D5324">
        <w:trPr>
          <w:trHeight w:val="283"/>
        </w:trPr>
        <w:tc>
          <w:tcPr>
            <w:tcW w:w="2185" w:type="dxa"/>
            <w:tcBorders>
              <w:left w:val="nil"/>
              <w:bottom w:val="single" w:sz="4" w:space="0" w:color="auto"/>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Datum vypořádání</w:t>
            </w:r>
          </w:p>
        </w:tc>
        <w:tc>
          <w:tcPr>
            <w:tcW w:w="1486" w:type="dxa"/>
            <w:tcBorders>
              <w:bottom w:val="single" w:sz="4" w:space="0" w:color="auto"/>
            </w:tcBorders>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dd.mm.yyyy</w:t>
            </w:r>
            <w:proofErr w:type="spellEnd"/>
          </w:p>
        </w:tc>
        <w:tc>
          <w:tcPr>
            <w:tcW w:w="1486" w:type="dxa"/>
            <w:tcBorders>
              <w:bottom w:val="single" w:sz="4" w:space="0" w:color="auto"/>
            </w:tcBorders>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NTRQ</w:t>
            </w:r>
          </w:p>
        </w:tc>
        <w:tc>
          <w:tcPr>
            <w:tcW w:w="4300" w:type="dxa"/>
            <w:tcBorders>
              <w:bottom w:val="single" w:sz="4" w:space="0" w:color="auto"/>
              <w:right w:val="nil"/>
            </w:tcBorders>
            <w:vAlign w:val="center"/>
          </w:tcPr>
          <w:p w:rsidR="006D5324" w:rsidRPr="00463E1A" w:rsidRDefault="008916B6" w:rsidP="006D5324">
            <w:pPr>
              <w:jc w:val="both"/>
              <w:rPr>
                <w:rFonts w:ascii="Times New Roman" w:hAnsi="Times New Roman"/>
                <w:szCs w:val="22"/>
              </w:rPr>
            </w:pPr>
            <w:r w:rsidRPr="00463E1A">
              <w:rPr>
                <w:rFonts w:ascii="Times New Roman" w:hAnsi="Times New Roman"/>
                <w:szCs w:val="22"/>
              </w:rPr>
              <w:t>Atribut může být reportován s hodnotou NTRQ.</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Smluvní datum splatnosti</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dd.mm.yyyy</w:t>
            </w:r>
            <w:proofErr w:type="spellEnd"/>
            <w:r w:rsidRPr="00463E1A">
              <w:rPr>
                <w:rFonts w:ascii="Times New Roman" w:hAnsi="Times New Roman"/>
                <w:szCs w:val="22"/>
              </w:rPr>
              <w:t xml:space="preserve"> OR NTAP</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dd.mm.yyyy</w:t>
            </w:r>
            <w:proofErr w:type="spellEnd"/>
            <w:r w:rsidRPr="00463E1A">
              <w:rPr>
                <w:rFonts w:ascii="Times New Roman" w:hAnsi="Times New Roman"/>
                <w:szCs w:val="22"/>
              </w:rPr>
              <w:t xml:space="preserve"> OR NTAP</w:t>
            </w:r>
          </w:p>
        </w:tc>
        <w:tc>
          <w:tcPr>
            <w:tcW w:w="4300" w:type="dxa"/>
            <w:tcBorders>
              <w:right w:val="nil"/>
            </w:tcBorders>
            <w:vAlign w:val="center"/>
          </w:tcPr>
          <w:p w:rsidR="006D5324" w:rsidRPr="00463E1A" w:rsidRDefault="006D5324" w:rsidP="006D5324">
            <w:pPr>
              <w:jc w:val="both"/>
              <w:rPr>
                <w:rFonts w:ascii="Times New Roman" w:hAnsi="Times New Roman"/>
                <w:szCs w:val="22"/>
              </w:rPr>
            </w:pPr>
            <w:r w:rsidRPr="00463E1A">
              <w:rPr>
                <w:rFonts w:ascii="Times New Roman" w:hAnsi="Times New Roman"/>
                <w:szCs w:val="22"/>
              </w:rPr>
              <w:t xml:space="preserve">Atribut se nemění. Hodnota </w:t>
            </w:r>
            <w:r w:rsidR="008916B6" w:rsidRPr="00463E1A">
              <w:rPr>
                <w:rFonts w:ascii="Times New Roman" w:hAnsi="Times New Roman"/>
                <w:szCs w:val="22"/>
              </w:rPr>
              <w:t>NTAP</w:t>
            </w:r>
            <w:r w:rsidRPr="00463E1A">
              <w:rPr>
                <w:rFonts w:ascii="Times New Roman" w:hAnsi="Times New Roman"/>
                <w:szCs w:val="22"/>
              </w:rPr>
              <w:t xml:space="preserve"> je vykazována např. pro nepovolené debety.</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Rekurs</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NTRQ</w:t>
            </w:r>
          </w:p>
        </w:tc>
        <w:tc>
          <w:tcPr>
            <w:tcW w:w="4300" w:type="dxa"/>
            <w:tcBorders>
              <w:right w:val="nil"/>
            </w:tcBorders>
            <w:vAlign w:val="center"/>
          </w:tcPr>
          <w:p w:rsidR="006D5324" w:rsidRPr="00463E1A" w:rsidRDefault="008916B6" w:rsidP="006D5324">
            <w:pPr>
              <w:rPr>
                <w:rFonts w:ascii="Times New Roman" w:hAnsi="Times New Roman"/>
                <w:szCs w:val="22"/>
              </w:rPr>
            </w:pPr>
            <w:r w:rsidRPr="00463E1A">
              <w:rPr>
                <w:rFonts w:ascii="Times New Roman" w:hAnsi="Times New Roman"/>
                <w:szCs w:val="22"/>
              </w:rPr>
              <w:t>Atribut může být reportován s hodnotou NTRQ.</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Typ úrokové sazby</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value</w:t>
            </w:r>
            <w:proofErr w:type="spellEnd"/>
            <w:r w:rsidRPr="00463E1A">
              <w:rPr>
                <w:rFonts w:ascii="Times New Roman" w:hAnsi="Times New Roman"/>
                <w:szCs w:val="22"/>
              </w:rPr>
              <w:t xml:space="preserve"> OR NTAP</w:t>
            </w:r>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NTRQ</w:t>
            </w:r>
          </w:p>
        </w:tc>
        <w:tc>
          <w:tcPr>
            <w:tcW w:w="4300" w:type="dxa"/>
            <w:tcBorders>
              <w:right w:val="nil"/>
            </w:tcBorders>
            <w:vAlign w:val="center"/>
          </w:tcPr>
          <w:p w:rsidR="006D5324" w:rsidRPr="00463E1A" w:rsidRDefault="008916B6" w:rsidP="006D5324">
            <w:pPr>
              <w:rPr>
                <w:rFonts w:ascii="Times New Roman" w:hAnsi="Times New Roman"/>
                <w:szCs w:val="22"/>
              </w:rPr>
            </w:pPr>
            <w:r w:rsidRPr="00463E1A">
              <w:rPr>
                <w:rFonts w:ascii="Times New Roman" w:hAnsi="Times New Roman"/>
                <w:szCs w:val="22"/>
              </w:rPr>
              <w:t>Atribut může být reportován s hodnotou NTRQ.</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Frekvence přenastavení úrokové sazby</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value</w:t>
            </w:r>
            <w:proofErr w:type="spellEnd"/>
            <w:r w:rsidRPr="00463E1A">
              <w:rPr>
                <w:rFonts w:ascii="Times New Roman" w:hAnsi="Times New Roman"/>
                <w:szCs w:val="22"/>
              </w:rPr>
              <w:t xml:space="preserve"> OR NTAP</w:t>
            </w:r>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NTRQ</w:t>
            </w:r>
          </w:p>
        </w:tc>
        <w:tc>
          <w:tcPr>
            <w:tcW w:w="4300" w:type="dxa"/>
            <w:tcBorders>
              <w:right w:val="nil"/>
            </w:tcBorders>
            <w:vAlign w:val="center"/>
          </w:tcPr>
          <w:p w:rsidR="006D5324" w:rsidRPr="00463E1A" w:rsidRDefault="008916B6" w:rsidP="006D5324">
            <w:pPr>
              <w:rPr>
                <w:rFonts w:ascii="Times New Roman" w:hAnsi="Times New Roman"/>
                <w:szCs w:val="22"/>
              </w:rPr>
            </w:pPr>
            <w:r w:rsidRPr="00463E1A">
              <w:rPr>
                <w:rFonts w:ascii="Times New Roman" w:hAnsi="Times New Roman"/>
                <w:szCs w:val="22"/>
              </w:rPr>
              <w:t>Atribut může být reportován s hodnotou NTRQ.</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Datum konce období, kdy se platí pouze úroky</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dd.mm.yyyy</w:t>
            </w:r>
            <w:proofErr w:type="spellEnd"/>
            <w:r w:rsidRPr="00463E1A">
              <w:rPr>
                <w:rFonts w:ascii="Times New Roman" w:hAnsi="Times New Roman"/>
                <w:szCs w:val="22"/>
              </w:rPr>
              <w:t xml:space="preserve"> OR NTAP</w:t>
            </w:r>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NTRQ</w:t>
            </w:r>
          </w:p>
        </w:tc>
        <w:tc>
          <w:tcPr>
            <w:tcW w:w="4300" w:type="dxa"/>
            <w:tcBorders>
              <w:right w:val="nil"/>
            </w:tcBorders>
            <w:vAlign w:val="center"/>
          </w:tcPr>
          <w:p w:rsidR="006D5324" w:rsidRPr="00463E1A" w:rsidRDefault="008916B6" w:rsidP="006D5324">
            <w:pPr>
              <w:rPr>
                <w:rFonts w:ascii="Times New Roman" w:hAnsi="Times New Roman"/>
                <w:szCs w:val="22"/>
              </w:rPr>
            </w:pPr>
            <w:r w:rsidRPr="00463E1A">
              <w:rPr>
                <w:rFonts w:ascii="Times New Roman" w:hAnsi="Times New Roman"/>
                <w:szCs w:val="22"/>
              </w:rPr>
              <w:t>Atribut může být reportován s hodnotou NTRQ.</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Referenční sazba</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value</w:t>
            </w:r>
            <w:proofErr w:type="spellEnd"/>
            <w:r w:rsidRPr="00463E1A">
              <w:rPr>
                <w:rFonts w:ascii="Times New Roman" w:hAnsi="Times New Roman"/>
                <w:szCs w:val="22"/>
              </w:rPr>
              <w:t xml:space="preserve"> OR NTAP</w:t>
            </w:r>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NTRQ</w:t>
            </w:r>
          </w:p>
        </w:tc>
        <w:tc>
          <w:tcPr>
            <w:tcW w:w="4300" w:type="dxa"/>
            <w:tcBorders>
              <w:right w:val="nil"/>
            </w:tcBorders>
            <w:vAlign w:val="center"/>
          </w:tcPr>
          <w:p w:rsidR="006D5324" w:rsidRPr="00463E1A" w:rsidRDefault="008916B6" w:rsidP="006D5324">
            <w:pPr>
              <w:rPr>
                <w:rFonts w:ascii="Times New Roman" w:hAnsi="Times New Roman"/>
                <w:szCs w:val="22"/>
              </w:rPr>
            </w:pPr>
            <w:r w:rsidRPr="00463E1A">
              <w:rPr>
                <w:rFonts w:ascii="Times New Roman" w:hAnsi="Times New Roman"/>
                <w:szCs w:val="22"/>
              </w:rPr>
              <w:t>Atribut může být reportován s hodnotou NTRQ.</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Rozpětí/marže úrokové sazby</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x.xxxxxx</w:t>
            </w:r>
            <w:proofErr w:type="spellEnd"/>
            <w:r w:rsidRPr="00463E1A">
              <w:rPr>
                <w:rFonts w:ascii="Times New Roman" w:hAnsi="Times New Roman"/>
                <w:szCs w:val="22"/>
              </w:rPr>
              <w:t xml:space="preserve"> OR NTAP</w:t>
            </w:r>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NTRQ</w:t>
            </w:r>
          </w:p>
        </w:tc>
        <w:tc>
          <w:tcPr>
            <w:tcW w:w="4300" w:type="dxa"/>
            <w:tcBorders>
              <w:right w:val="nil"/>
            </w:tcBorders>
            <w:vAlign w:val="center"/>
          </w:tcPr>
          <w:p w:rsidR="006D5324" w:rsidRPr="00463E1A" w:rsidRDefault="008916B6" w:rsidP="006D5324">
            <w:pPr>
              <w:rPr>
                <w:rFonts w:ascii="Times New Roman" w:hAnsi="Times New Roman"/>
                <w:szCs w:val="22"/>
              </w:rPr>
            </w:pPr>
            <w:r w:rsidRPr="00463E1A">
              <w:rPr>
                <w:rFonts w:ascii="Times New Roman" w:hAnsi="Times New Roman"/>
                <w:szCs w:val="22"/>
              </w:rPr>
              <w:t>Atribut může být reportován s hodnotou NTRQ.</w:t>
            </w:r>
          </w:p>
        </w:tc>
      </w:tr>
      <w:tr w:rsidR="006D5324" w:rsidRPr="00463E1A" w:rsidTr="006D5324">
        <w:trPr>
          <w:trHeight w:val="283"/>
        </w:trPr>
        <w:tc>
          <w:tcPr>
            <w:tcW w:w="2185" w:type="dxa"/>
            <w:tcBorders>
              <w:left w:val="nil"/>
              <w:bottom w:val="single" w:sz="4" w:space="0" w:color="auto"/>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Horní hranice úrokové sazby</w:t>
            </w:r>
          </w:p>
        </w:tc>
        <w:tc>
          <w:tcPr>
            <w:tcW w:w="1486" w:type="dxa"/>
            <w:tcBorders>
              <w:bottom w:val="single" w:sz="4" w:space="0" w:color="auto"/>
            </w:tcBorders>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x.xxxxxx</w:t>
            </w:r>
            <w:proofErr w:type="spellEnd"/>
            <w:r w:rsidRPr="00463E1A">
              <w:rPr>
                <w:rFonts w:ascii="Times New Roman" w:hAnsi="Times New Roman"/>
                <w:szCs w:val="22"/>
              </w:rPr>
              <w:t xml:space="preserve"> OR NTAP</w:t>
            </w:r>
          </w:p>
        </w:tc>
        <w:tc>
          <w:tcPr>
            <w:tcW w:w="1486" w:type="dxa"/>
            <w:tcBorders>
              <w:bottom w:val="single" w:sz="4" w:space="0" w:color="auto"/>
            </w:tcBorders>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NTRQ</w:t>
            </w:r>
          </w:p>
        </w:tc>
        <w:tc>
          <w:tcPr>
            <w:tcW w:w="4300" w:type="dxa"/>
            <w:tcBorders>
              <w:bottom w:val="single" w:sz="4" w:space="0" w:color="auto"/>
              <w:right w:val="nil"/>
            </w:tcBorders>
            <w:vAlign w:val="center"/>
          </w:tcPr>
          <w:p w:rsidR="006D5324" w:rsidRPr="00463E1A" w:rsidRDefault="008916B6" w:rsidP="006D5324">
            <w:pPr>
              <w:rPr>
                <w:rFonts w:ascii="Times New Roman" w:hAnsi="Times New Roman"/>
                <w:szCs w:val="22"/>
              </w:rPr>
            </w:pPr>
            <w:r w:rsidRPr="00463E1A">
              <w:rPr>
                <w:rFonts w:ascii="Times New Roman" w:hAnsi="Times New Roman"/>
                <w:szCs w:val="22"/>
              </w:rPr>
              <w:t>Atribut může být reportován s hodnotou NTRQ.</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Dolní hranice úrokové sazby</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x.xxxxxx</w:t>
            </w:r>
            <w:proofErr w:type="spellEnd"/>
            <w:r w:rsidRPr="00463E1A">
              <w:rPr>
                <w:rFonts w:ascii="Times New Roman" w:hAnsi="Times New Roman"/>
                <w:szCs w:val="22"/>
              </w:rPr>
              <w:t xml:space="preserve"> OR NTAP</w:t>
            </w:r>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NTRQ</w:t>
            </w:r>
          </w:p>
        </w:tc>
        <w:tc>
          <w:tcPr>
            <w:tcW w:w="4300" w:type="dxa"/>
            <w:tcBorders>
              <w:right w:val="nil"/>
            </w:tcBorders>
            <w:vAlign w:val="center"/>
          </w:tcPr>
          <w:p w:rsidR="006D5324" w:rsidRPr="00463E1A" w:rsidRDefault="008916B6" w:rsidP="006D5324">
            <w:pPr>
              <w:rPr>
                <w:rFonts w:ascii="Times New Roman" w:hAnsi="Times New Roman"/>
                <w:szCs w:val="22"/>
              </w:rPr>
            </w:pPr>
            <w:r w:rsidRPr="00463E1A">
              <w:rPr>
                <w:rFonts w:ascii="Times New Roman" w:hAnsi="Times New Roman"/>
                <w:szCs w:val="22"/>
              </w:rPr>
              <w:t>Atribut může být reportován s hodnotou NTRQ.</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Účel instrumentu</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D5324" w:rsidRPr="00463E1A" w:rsidRDefault="006D5324" w:rsidP="006D5324">
            <w:pPr>
              <w:jc w:val="both"/>
              <w:rPr>
                <w:rFonts w:ascii="Times New Roman" w:hAnsi="Times New Roman"/>
                <w:szCs w:val="22"/>
              </w:rPr>
            </w:pPr>
            <w:r w:rsidRPr="00463E1A">
              <w:rPr>
                <w:rFonts w:ascii="Times New Roman" w:hAnsi="Times New Roman"/>
                <w:szCs w:val="22"/>
              </w:rPr>
              <w:t>Atribut se nemění.</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Způsob umořování dluhu</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NTRQ</w:t>
            </w:r>
          </w:p>
        </w:tc>
        <w:tc>
          <w:tcPr>
            <w:tcW w:w="4300" w:type="dxa"/>
            <w:tcBorders>
              <w:right w:val="nil"/>
            </w:tcBorders>
            <w:vAlign w:val="center"/>
          </w:tcPr>
          <w:p w:rsidR="006D5324" w:rsidRPr="00463E1A" w:rsidRDefault="008916B6" w:rsidP="006D5324">
            <w:pPr>
              <w:jc w:val="both"/>
              <w:rPr>
                <w:rFonts w:ascii="Times New Roman" w:hAnsi="Times New Roman"/>
                <w:szCs w:val="22"/>
              </w:rPr>
            </w:pPr>
            <w:r w:rsidRPr="00463E1A">
              <w:rPr>
                <w:rFonts w:ascii="Times New Roman" w:hAnsi="Times New Roman"/>
                <w:szCs w:val="22"/>
              </w:rPr>
              <w:t>Atribut může být reportován s hodnotou NTRQ.</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Četnost splátek</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NTRQ</w:t>
            </w:r>
          </w:p>
        </w:tc>
        <w:tc>
          <w:tcPr>
            <w:tcW w:w="4300" w:type="dxa"/>
            <w:tcBorders>
              <w:right w:val="nil"/>
            </w:tcBorders>
            <w:vAlign w:val="center"/>
          </w:tcPr>
          <w:p w:rsidR="006D5324" w:rsidRPr="00463E1A" w:rsidRDefault="008916B6" w:rsidP="006D5324">
            <w:pPr>
              <w:jc w:val="both"/>
              <w:rPr>
                <w:rFonts w:ascii="Times New Roman" w:hAnsi="Times New Roman"/>
                <w:szCs w:val="22"/>
              </w:rPr>
            </w:pPr>
            <w:r w:rsidRPr="00463E1A">
              <w:rPr>
                <w:rFonts w:ascii="Times New Roman" w:hAnsi="Times New Roman"/>
                <w:szCs w:val="22"/>
              </w:rPr>
              <w:t>Atribut může být reportován s hodnotou NTRQ.</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Identifikátor syndikovaného úvěru</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string</w:t>
            </w:r>
            <w:proofErr w:type="spellEnd"/>
            <w:r w:rsidRPr="00463E1A">
              <w:rPr>
                <w:rFonts w:ascii="Times New Roman" w:hAnsi="Times New Roman"/>
                <w:szCs w:val="22"/>
              </w:rPr>
              <w:t xml:space="preserve"> OR NTAP</w:t>
            </w:r>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NTRQ</w:t>
            </w:r>
          </w:p>
        </w:tc>
        <w:tc>
          <w:tcPr>
            <w:tcW w:w="4300" w:type="dxa"/>
            <w:tcBorders>
              <w:right w:val="nil"/>
            </w:tcBorders>
            <w:vAlign w:val="center"/>
          </w:tcPr>
          <w:p w:rsidR="006D5324" w:rsidRPr="00463E1A" w:rsidRDefault="008916B6" w:rsidP="006D5324">
            <w:pPr>
              <w:jc w:val="both"/>
              <w:rPr>
                <w:rFonts w:ascii="Times New Roman" w:hAnsi="Times New Roman"/>
                <w:szCs w:val="22"/>
              </w:rPr>
            </w:pPr>
            <w:r w:rsidRPr="00463E1A">
              <w:rPr>
                <w:rFonts w:ascii="Times New Roman" w:hAnsi="Times New Roman"/>
                <w:szCs w:val="22"/>
              </w:rPr>
              <w:t>Atribut může být reportován s hodnotou NTRQ.</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Podřízený dluh</w:t>
            </w:r>
            <w:r w:rsidR="00DB56AE" w:rsidRPr="00463E1A">
              <w:rPr>
                <w:rFonts w:ascii="Times New Roman" w:hAnsi="Times New Roman"/>
                <w:b/>
                <w:color w:val="365F91" w:themeColor="accent1" w:themeShade="BF"/>
                <w:szCs w:val="22"/>
              </w:rPr>
              <w:t xml:space="preserve"> </w:t>
            </w:r>
            <w:proofErr w:type="spellStart"/>
            <w:r w:rsidR="00DB56AE" w:rsidRPr="00463E1A">
              <w:rPr>
                <w:rFonts w:ascii="Times New Roman" w:hAnsi="Times New Roman"/>
                <w:b/>
                <w:color w:val="365F91" w:themeColor="accent1" w:themeShade="BF"/>
                <w:szCs w:val="22"/>
              </w:rPr>
              <w:t>aaa</w:t>
            </w:r>
            <w:proofErr w:type="spellEnd"/>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NTRQ</w:t>
            </w:r>
          </w:p>
        </w:tc>
        <w:tc>
          <w:tcPr>
            <w:tcW w:w="4300" w:type="dxa"/>
            <w:tcBorders>
              <w:right w:val="nil"/>
            </w:tcBorders>
            <w:vAlign w:val="center"/>
          </w:tcPr>
          <w:p w:rsidR="006D5324" w:rsidRPr="00463E1A" w:rsidRDefault="008916B6" w:rsidP="006D5324">
            <w:pPr>
              <w:jc w:val="both"/>
              <w:rPr>
                <w:rFonts w:ascii="Times New Roman" w:hAnsi="Times New Roman"/>
                <w:szCs w:val="22"/>
              </w:rPr>
            </w:pPr>
            <w:r w:rsidRPr="00463E1A">
              <w:rPr>
                <w:rFonts w:ascii="Times New Roman" w:hAnsi="Times New Roman"/>
                <w:szCs w:val="22"/>
              </w:rPr>
              <w:t>Atribut může být reportován s hodnotou NTRQ.</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Práva na splacení</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NTRQ</w:t>
            </w:r>
          </w:p>
        </w:tc>
        <w:tc>
          <w:tcPr>
            <w:tcW w:w="4300" w:type="dxa"/>
            <w:tcBorders>
              <w:right w:val="nil"/>
            </w:tcBorders>
            <w:vAlign w:val="center"/>
          </w:tcPr>
          <w:p w:rsidR="006D5324" w:rsidRPr="00463E1A" w:rsidRDefault="008916B6" w:rsidP="006D5324">
            <w:pPr>
              <w:jc w:val="both"/>
              <w:rPr>
                <w:rFonts w:ascii="Times New Roman" w:hAnsi="Times New Roman"/>
                <w:szCs w:val="22"/>
              </w:rPr>
            </w:pPr>
            <w:r w:rsidRPr="00463E1A">
              <w:rPr>
                <w:rFonts w:ascii="Times New Roman" w:hAnsi="Times New Roman"/>
                <w:szCs w:val="22"/>
              </w:rPr>
              <w:t>Atribut může být reportován s hodnotou NTRQ.</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Fiduciární instrument</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NTRQ</w:t>
            </w:r>
          </w:p>
        </w:tc>
        <w:tc>
          <w:tcPr>
            <w:tcW w:w="4300" w:type="dxa"/>
            <w:tcBorders>
              <w:right w:val="nil"/>
            </w:tcBorders>
            <w:vAlign w:val="center"/>
          </w:tcPr>
          <w:p w:rsidR="006D5324" w:rsidRPr="00463E1A" w:rsidRDefault="008916B6" w:rsidP="006D5324">
            <w:pPr>
              <w:jc w:val="both"/>
              <w:rPr>
                <w:rFonts w:ascii="Times New Roman" w:hAnsi="Times New Roman"/>
                <w:szCs w:val="22"/>
              </w:rPr>
            </w:pPr>
            <w:r w:rsidRPr="00463E1A">
              <w:rPr>
                <w:rFonts w:ascii="Times New Roman" w:hAnsi="Times New Roman"/>
                <w:szCs w:val="22"/>
              </w:rPr>
              <w:t>Atribut může být reportován s hodnotou NTRQ.</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Výše závazku při vzniku instrumentu</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x.xx</w:t>
            </w:r>
            <w:proofErr w:type="spellEnd"/>
            <w:r w:rsidRPr="00463E1A">
              <w:rPr>
                <w:rFonts w:ascii="Times New Roman" w:hAnsi="Times New Roman"/>
                <w:szCs w:val="22"/>
              </w:rPr>
              <w:t xml:space="preserve"> OR NTAP</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x.xx</w:t>
            </w:r>
            <w:proofErr w:type="spellEnd"/>
            <w:r w:rsidRPr="00463E1A">
              <w:rPr>
                <w:rFonts w:ascii="Times New Roman" w:hAnsi="Times New Roman"/>
                <w:szCs w:val="22"/>
              </w:rPr>
              <w:t xml:space="preserve"> OR NTAP</w:t>
            </w:r>
          </w:p>
        </w:tc>
        <w:tc>
          <w:tcPr>
            <w:tcW w:w="4300" w:type="dxa"/>
            <w:tcBorders>
              <w:right w:val="nil"/>
            </w:tcBorders>
            <w:vAlign w:val="center"/>
          </w:tcPr>
          <w:p w:rsidR="006D5324" w:rsidRPr="00463E1A" w:rsidRDefault="006D5324" w:rsidP="006D5324">
            <w:pPr>
              <w:jc w:val="both"/>
              <w:rPr>
                <w:rFonts w:ascii="Times New Roman" w:hAnsi="Times New Roman"/>
                <w:szCs w:val="22"/>
              </w:rPr>
            </w:pPr>
            <w:r w:rsidRPr="00463E1A">
              <w:rPr>
                <w:rFonts w:ascii="Times New Roman" w:hAnsi="Times New Roman"/>
                <w:szCs w:val="22"/>
              </w:rPr>
              <w:t>Atribut se nemění.</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Změny reálné hodnoty v důsledku změny úvěrového rizika před nákupem instrumentu</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x.xx</w:t>
            </w:r>
            <w:proofErr w:type="spellEnd"/>
            <w:r w:rsidRPr="00463E1A">
              <w:rPr>
                <w:rFonts w:ascii="Times New Roman" w:hAnsi="Times New Roman"/>
                <w:szCs w:val="22"/>
              </w:rPr>
              <w:t xml:space="preserve"> OR NTAP</w:t>
            </w:r>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NTRQ</w:t>
            </w:r>
          </w:p>
        </w:tc>
        <w:tc>
          <w:tcPr>
            <w:tcW w:w="4300" w:type="dxa"/>
            <w:tcBorders>
              <w:bottom w:val="single" w:sz="4" w:space="0" w:color="auto"/>
              <w:right w:val="nil"/>
            </w:tcBorders>
            <w:vAlign w:val="center"/>
          </w:tcPr>
          <w:p w:rsidR="006D5324" w:rsidRPr="00463E1A" w:rsidRDefault="008916B6" w:rsidP="006D5324">
            <w:pPr>
              <w:jc w:val="both"/>
              <w:rPr>
                <w:rFonts w:ascii="Times New Roman" w:hAnsi="Times New Roman"/>
                <w:szCs w:val="22"/>
              </w:rPr>
            </w:pPr>
            <w:r w:rsidRPr="00463E1A">
              <w:rPr>
                <w:rFonts w:ascii="Times New Roman" w:hAnsi="Times New Roman"/>
                <w:szCs w:val="22"/>
              </w:rPr>
              <w:t>Atribut může být reportován s hodnotou NTRQ.</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lastRenderedPageBreak/>
              <w:t>Odvolatelnost podrozvahové položky</w:t>
            </w:r>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NTAP</w:t>
            </w:r>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NTRQ</w:t>
            </w:r>
          </w:p>
        </w:tc>
        <w:tc>
          <w:tcPr>
            <w:tcW w:w="4300" w:type="dxa"/>
            <w:tcBorders>
              <w:right w:val="nil"/>
            </w:tcBorders>
            <w:vAlign w:val="center"/>
          </w:tcPr>
          <w:p w:rsidR="006D5324" w:rsidRPr="00463E1A" w:rsidRDefault="008916B6" w:rsidP="006D5324">
            <w:pPr>
              <w:jc w:val="both"/>
              <w:rPr>
                <w:rFonts w:ascii="Times New Roman" w:hAnsi="Times New Roman"/>
                <w:szCs w:val="22"/>
              </w:rPr>
            </w:pPr>
            <w:r w:rsidRPr="00463E1A">
              <w:rPr>
                <w:rFonts w:ascii="Times New Roman" w:hAnsi="Times New Roman"/>
                <w:szCs w:val="22"/>
              </w:rPr>
              <w:t>Atribut může být reportován s hodnotou NTRQ.</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Stav instrumentu</w:t>
            </w:r>
          </w:p>
        </w:tc>
        <w:tc>
          <w:tcPr>
            <w:tcW w:w="1486" w:type="dxa"/>
            <w:vAlign w:val="center"/>
          </w:tcPr>
          <w:p w:rsidR="006D5324" w:rsidRPr="00463E1A" w:rsidRDefault="00295B67" w:rsidP="006D5324">
            <w:pPr>
              <w:rPr>
                <w:rFonts w:ascii="Times New Roman" w:hAnsi="Times New Roman"/>
                <w:szCs w:val="22"/>
              </w:rPr>
            </w:pPr>
            <w:proofErr w:type="spellStart"/>
            <w:r w:rsidRPr="00463E1A">
              <w:rPr>
                <w:rFonts w:ascii="Times New Roman" w:hAnsi="Times New Roman"/>
                <w:szCs w:val="22"/>
              </w:rPr>
              <w:t>V</w:t>
            </w:r>
            <w:r w:rsidR="006D5324" w:rsidRPr="00463E1A">
              <w:rPr>
                <w:rFonts w:ascii="Times New Roman" w:hAnsi="Times New Roman"/>
                <w:szCs w:val="22"/>
              </w:rPr>
              <w:t>alue</w:t>
            </w:r>
            <w:proofErr w:type="spellEnd"/>
            <w:r w:rsidRPr="00463E1A">
              <w:rPr>
                <w:rFonts w:ascii="Times New Roman" w:hAnsi="Times New Roman"/>
                <w:szCs w:val="22"/>
              </w:rPr>
              <w:t xml:space="preserve"> nebo NTAP</w:t>
            </w:r>
          </w:p>
        </w:tc>
        <w:tc>
          <w:tcPr>
            <w:tcW w:w="1486" w:type="dxa"/>
            <w:vAlign w:val="center"/>
          </w:tcPr>
          <w:p w:rsidR="006D5324" w:rsidRPr="00463E1A" w:rsidRDefault="00295B67" w:rsidP="006D5324">
            <w:pPr>
              <w:rPr>
                <w:rFonts w:ascii="Times New Roman" w:hAnsi="Times New Roman"/>
                <w:szCs w:val="22"/>
              </w:rPr>
            </w:pPr>
            <w:proofErr w:type="spellStart"/>
            <w:r w:rsidRPr="00463E1A">
              <w:rPr>
                <w:rFonts w:ascii="Times New Roman" w:hAnsi="Times New Roman"/>
                <w:szCs w:val="22"/>
              </w:rPr>
              <w:t>V</w:t>
            </w:r>
            <w:r w:rsidR="006D5324" w:rsidRPr="00463E1A">
              <w:rPr>
                <w:rFonts w:ascii="Times New Roman" w:hAnsi="Times New Roman"/>
                <w:szCs w:val="22"/>
              </w:rPr>
              <w:t>alue</w:t>
            </w:r>
            <w:proofErr w:type="spellEnd"/>
            <w:r w:rsidRPr="00463E1A">
              <w:rPr>
                <w:rFonts w:ascii="Times New Roman" w:hAnsi="Times New Roman"/>
                <w:szCs w:val="22"/>
              </w:rPr>
              <w:t xml:space="preserve"> nebo NTAP</w:t>
            </w:r>
          </w:p>
        </w:tc>
        <w:tc>
          <w:tcPr>
            <w:tcW w:w="4300" w:type="dxa"/>
            <w:tcBorders>
              <w:right w:val="nil"/>
            </w:tcBorders>
            <w:vAlign w:val="center"/>
          </w:tcPr>
          <w:p w:rsidR="00295B67" w:rsidRPr="00463E1A" w:rsidRDefault="006D5324" w:rsidP="008916B6">
            <w:pPr>
              <w:jc w:val="left"/>
              <w:rPr>
                <w:rFonts w:ascii="Times New Roman" w:hAnsi="Times New Roman"/>
                <w:i/>
                <w:color w:val="548DD4" w:themeColor="text2" w:themeTint="99"/>
                <w:szCs w:val="22"/>
                <w:u w:val="single"/>
              </w:rPr>
            </w:pPr>
            <w:r w:rsidRPr="00463E1A">
              <w:rPr>
                <w:rFonts w:ascii="Times New Roman" w:hAnsi="Times New Roman"/>
                <w:szCs w:val="22"/>
              </w:rPr>
              <w:t>Atribut se nemění.</w:t>
            </w:r>
            <w:r w:rsidR="008916B6" w:rsidRPr="00463E1A">
              <w:rPr>
                <w:rFonts w:ascii="Times New Roman" w:hAnsi="Times New Roman"/>
                <w:szCs w:val="22"/>
              </w:rPr>
              <w:t xml:space="preserve"> Ukončení ode</w:t>
            </w:r>
            <w:r w:rsidR="00295B67" w:rsidRPr="00463E1A">
              <w:rPr>
                <w:rFonts w:ascii="Times New Roman" w:hAnsi="Times New Roman"/>
                <w:szCs w:val="22"/>
              </w:rPr>
              <w:t>ps</w:t>
            </w:r>
            <w:r w:rsidR="008916B6" w:rsidRPr="00463E1A">
              <w:rPr>
                <w:rFonts w:ascii="Times New Roman" w:hAnsi="Times New Roman"/>
                <w:szCs w:val="22"/>
              </w:rPr>
              <w:t xml:space="preserve">aného instrumentu je vázáno na některou z událostí v </w:t>
            </w:r>
            <w:r w:rsidR="008916B6" w:rsidRPr="00463E1A">
              <w:rPr>
                <w:rStyle w:val="SubtleReference"/>
                <w:rFonts w:ascii="Times New Roman" w:hAnsi="Times New Roman"/>
                <w:szCs w:val="22"/>
              </w:rPr>
              <w:fldChar w:fldCharType="begin"/>
            </w:r>
            <w:r w:rsidR="008916B6" w:rsidRPr="00463E1A">
              <w:rPr>
                <w:rStyle w:val="SubtleReference"/>
                <w:rFonts w:ascii="Times New Roman" w:hAnsi="Times New Roman"/>
                <w:szCs w:val="22"/>
              </w:rPr>
              <w:instrText xml:space="preserve"> REF _Ref536703934 \h  \* MERGEFORMAT </w:instrText>
            </w:r>
            <w:r w:rsidR="008916B6" w:rsidRPr="00463E1A">
              <w:rPr>
                <w:rStyle w:val="SubtleReference"/>
                <w:rFonts w:ascii="Times New Roman" w:hAnsi="Times New Roman"/>
                <w:szCs w:val="22"/>
              </w:rPr>
            </w:r>
            <w:r w:rsidR="008916B6" w:rsidRPr="00463E1A">
              <w:rPr>
                <w:rStyle w:val="SubtleReference"/>
                <w:rFonts w:ascii="Times New Roman" w:hAnsi="Times New Roman"/>
                <w:szCs w:val="22"/>
              </w:rPr>
              <w:fldChar w:fldCharType="separate"/>
            </w:r>
            <w:r w:rsidR="00463E1A" w:rsidRPr="00463E1A">
              <w:rPr>
                <w:rStyle w:val="SubtleReference"/>
                <w:rFonts w:ascii="Times New Roman" w:hAnsi="Times New Roman"/>
              </w:rPr>
              <w:t>Obrázek 4: Doba vykazování odepsané pohledávky</w:t>
            </w:r>
            <w:r w:rsidR="008916B6" w:rsidRPr="00463E1A">
              <w:rPr>
                <w:rStyle w:val="SubtleReference"/>
                <w:rFonts w:ascii="Times New Roman" w:hAnsi="Times New Roman"/>
                <w:szCs w:val="22"/>
              </w:rPr>
              <w:fldChar w:fldCharType="end"/>
            </w:r>
            <w:r w:rsidR="008916B6" w:rsidRPr="00463E1A">
              <w:rPr>
                <w:rStyle w:val="SubtleReference"/>
                <w:rFonts w:ascii="Times New Roman" w:hAnsi="Times New Roman"/>
                <w:szCs w:val="22"/>
              </w:rPr>
              <w:t xml:space="preserve">. </w:t>
            </w:r>
          </w:p>
          <w:p w:rsidR="00295B67" w:rsidRPr="00463E1A" w:rsidRDefault="00295B67" w:rsidP="008916B6">
            <w:pPr>
              <w:jc w:val="left"/>
              <w:rPr>
                <w:rFonts w:ascii="Times New Roman" w:hAnsi="Times New Roman"/>
                <w:szCs w:val="22"/>
              </w:rPr>
            </w:pPr>
            <w:r w:rsidRPr="00463E1A">
              <w:rPr>
                <w:rFonts w:ascii="Times New Roman" w:hAnsi="Times New Roman"/>
                <w:szCs w:val="22"/>
              </w:rPr>
              <w:t xml:space="preserve">Při ukončení instrumentu se vykáže některý ze stavů 22 až 24. </w:t>
            </w:r>
          </w:p>
          <w:p w:rsidR="00D51583" w:rsidRPr="00463E1A" w:rsidRDefault="00D51583" w:rsidP="00295B67">
            <w:pPr>
              <w:jc w:val="left"/>
              <w:rPr>
                <w:rFonts w:ascii="Times New Roman" w:hAnsi="Times New Roman"/>
                <w:i/>
                <w:szCs w:val="22"/>
              </w:rPr>
            </w:pPr>
            <w:r w:rsidRPr="00463E1A">
              <w:rPr>
                <w:rFonts w:ascii="Times New Roman" w:hAnsi="Times New Roman"/>
                <w:i/>
                <w:szCs w:val="22"/>
              </w:rPr>
              <w:t xml:space="preserve">Ukončování instrumentu: </w:t>
            </w:r>
          </w:p>
          <w:p w:rsidR="008916B6" w:rsidRPr="00463E1A" w:rsidRDefault="00295B67" w:rsidP="00295B67">
            <w:pPr>
              <w:jc w:val="left"/>
              <w:rPr>
                <w:rFonts w:ascii="Times New Roman" w:hAnsi="Times New Roman"/>
                <w:szCs w:val="22"/>
              </w:rPr>
            </w:pPr>
            <w:r w:rsidRPr="00463E1A">
              <w:rPr>
                <w:rFonts w:ascii="Times New Roman" w:hAnsi="Times New Roman"/>
                <w:szCs w:val="22"/>
              </w:rPr>
              <w:t xml:space="preserve">Jelikož instrument může být vykázaný jako ukončený pouze jednou a musí být do ECB vykazovaný do konce čtvrtletí, v němž byl ukončený, je možné ho ukončit pouze ke konci čtvrtletí. </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Sporná pohledávka</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NTRQ</w:t>
            </w:r>
          </w:p>
        </w:tc>
        <w:tc>
          <w:tcPr>
            <w:tcW w:w="4300" w:type="dxa"/>
            <w:tcBorders>
              <w:right w:val="nil"/>
            </w:tcBorders>
            <w:vAlign w:val="center"/>
          </w:tcPr>
          <w:p w:rsidR="006D5324" w:rsidRPr="00463E1A" w:rsidRDefault="008916B6" w:rsidP="006D5324">
            <w:pPr>
              <w:jc w:val="both"/>
              <w:rPr>
                <w:rFonts w:ascii="Times New Roman" w:hAnsi="Times New Roman"/>
                <w:szCs w:val="22"/>
              </w:rPr>
            </w:pPr>
            <w:r w:rsidRPr="00463E1A">
              <w:rPr>
                <w:rFonts w:ascii="Times New Roman" w:hAnsi="Times New Roman"/>
                <w:szCs w:val="22"/>
              </w:rPr>
              <w:t>Atribut může být reportován s hodnotou NTRQ.</w:t>
            </w:r>
          </w:p>
        </w:tc>
      </w:tr>
      <w:tr w:rsidR="006D5324" w:rsidRPr="00463E1A" w:rsidTr="006D5324">
        <w:trPr>
          <w:trHeight w:val="283"/>
        </w:trPr>
        <w:tc>
          <w:tcPr>
            <w:tcW w:w="2185" w:type="dxa"/>
            <w:tcBorders>
              <w:left w:val="nil"/>
              <w:bottom w:val="single" w:sz="4" w:space="0" w:color="auto"/>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Příznak řádku</w:t>
            </w:r>
          </w:p>
        </w:tc>
        <w:tc>
          <w:tcPr>
            <w:tcW w:w="1486" w:type="dxa"/>
            <w:tcBorders>
              <w:bottom w:val="single" w:sz="4" w:space="0" w:color="auto"/>
            </w:tcBorders>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Standardní řádek</w:t>
            </w:r>
          </w:p>
        </w:tc>
        <w:tc>
          <w:tcPr>
            <w:tcW w:w="1486" w:type="dxa"/>
            <w:tcBorders>
              <w:bottom w:val="single" w:sz="4" w:space="0" w:color="auto"/>
            </w:tcBorders>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Standardní řádek</w:t>
            </w:r>
          </w:p>
        </w:tc>
        <w:tc>
          <w:tcPr>
            <w:tcW w:w="4300" w:type="dxa"/>
            <w:tcBorders>
              <w:bottom w:val="single" w:sz="4" w:space="0" w:color="auto"/>
              <w:right w:val="nil"/>
            </w:tcBorders>
            <w:vAlign w:val="center"/>
          </w:tcPr>
          <w:p w:rsidR="006D5324" w:rsidRPr="00463E1A" w:rsidRDefault="006D5324" w:rsidP="006D5324">
            <w:pPr>
              <w:jc w:val="both"/>
              <w:rPr>
                <w:rFonts w:ascii="Times New Roman" w:hAnsi="Times New Roman"/>
                <w:szCs w:val="22"/>
              </w:rPr>
            </w:pPr>
            <w:r w:rsidRPr="00463E1A">
              <w:rPr>
                <w:rFonts w:ascii="Times New Roman" w:hAnsi="Times New Roman"/>
                <w:szCs w:val="22"/>
              </w:rPr>
              <w:t>Procesní atribut, který slouží ke konsolidaci dat v databázi ČNB. Hodnota tohoto atributu není podmíněna stavem instrumentu, v tomto případě jeho ukončením.</w:t>
            </w:r>
          </w:p>
        </w:tc>
      </w:tr>
      <w:tr w:rsidR="001877B9" w:rsidRPr="00463E1A" w:rsidTr="006D5324">
        <w:trPr>
          <w:trHeight w:val="283"/>
        </w:trPr>
        <w:tc>
          <w:tcPr>
            <w:tcW w:w="9457" w:type="dxa"/>
            <w:gridSpan w:val="4"/>
            <w:tcBorders>
              <w:left w:val="nil"/>
              <w:right w:val="nil"/>
            </w:tcBorders>
            <w:vAlign w:val="center"/>
          </w:tcPr>
          <w:p w:rsidR="001877B9" w:rsidRPr="00463E1A" w:rsidRDefault="001877B9" w:rsidP="001877B9">
            <w:pPr>
              <w:jc w:val="left"/>
              <w:rPr>
                <w:rFonts w:ascii="Times New Roman" w:hAnsi="Times New Roman"/>
                <w:b/>
                <w:color w:val="365F91" w:themeColor="accent1" w:themeShade="BF"/>
                <w:szCs w:val="22"/>
              </w:rPr>
            </w:pPr>
            <w:r w:rsidRPr="00463E1A">
              <w:rPr>
                <w:rFonts w:ascii="Times New Roman" w:hAnsi="Times New Roman"/>
                <w:i/>
                <w:szCs w:val="22"/>
              </w:rPr>
              <w:t xml:space="preserve">PANACR03 je dynamickým výkazem, který odráží aktuální stav daného instrumentu v jednotlivých obdobích, tudíž většina vykazovaných atributů se mění z období na období. V případě odepsaných instrumentů je tak důležité, aby jednotlivé atributy odrážely tuto skutečnost, přičemž většina z nich může nabývat hodnoty „Not </w:t>
            </w:r>
            <w:proofErr w:type="spellStart"/>
            <w:r w:rsidRPr="00463E1A">
              <w:rPr>
                <w:rFonts w:ascii="Times New Roman" w:hAnsi="Times New Roman"/>
                <w:i/>
                <w:szCs w:val="22"/>
              </w:rPr>
              <w:t>required</w:t>
            </w:r>
            <w:proofErr w:type="spellEnd"/>
            <w:r w:rsidRPr="00463E1A">
              <w:rPr>
                <w:rFonts w:ascii="Times New Roman" w:hAnsi="Times New Roman"/>
                <w:i/>
                <w:szCs w:val="22"/>
              </w:rPr>
              <w:t>“.</w:t>
            </w:r>
          </w:p>
        </w:tc>
      </w:tr>
      <w:tr w:rsidR="006D5324" w:rsidRPr="00463E1A" w:rsidTr="006D5324">
        <w:trPr>
          <w:trHeight w:val="283"/>
        </w:trPr>
        <w:tc>
          <w:tcPr>
            <w:tcW w:w="9457" w:type="dxa"/>
            <w:gridSpan w:val="4"/>
            <w:tcBorders>
              <w:left w:val="nil"/>
              <w:right w:val="nil"/>
            </w:tcBorders>
            <w:vAlign w:val="center"/>
          </w:tcPr>
          <w:p w:rsidR="006D5324" w:rsidRPr="00463E1A" w:rsidRDefault="006D5324" w:rsidP="006D5324">
            <w:pPr>
              <w:rPr>
                <w:rFonts w:ascii="Times New Roman" w:hAnsi="Times New Roman"/>
                <w:b/>
                <w:color w:val="365F91" w:themeColor="accent1" w:themeShade="BF"/>
                <w:szCs w:val="22"/>
                <w:lang w:val="en-GB"/>
              </w:rPr>
            </w:pPr>
            <w:r w:rsidRPr="00463E1A">
              <w:rPr>
                <w:rFonts w:ascii="Times New Roman" w:hAnsi="Times New Roman"/>
                <w:b/>
                <w:color w:val="365F91" w:themeColor="accent1" w:themeShade="BF"/>
                <w:szCs w:val="22"/>
                <w:lang w:val="en-GB"/>
              </w:rPr>
              <w:t>PANACR03 (Financial)</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Atribut</w:t>
            </w:r>
          </w:p>
        </w:tc>
        <w:tc>
          <w:tcPr>
            <w:tcW w:w="1486" w:type="dxa"/>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(T-1)</w:t>
            </w:r>
          </w:p>
        </w:tc>
        <w:tc>
          <w:tcPr>
            <w:tcW w:w="1486" w:type="dxa"/>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(T)</w:t>
            </w:r>
          </w:p>
        </w:tc>
        <w:tc>
          <w:tcPr>
            <w:tcW w:w="4300" w:type="dxa"/>
            <w:tcBorders>
              <w:righ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Poznámka</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Identifikátor sledovaného subjektu</w:t>
            </w:r>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RIAD_IDK</w:t>
            </w:r>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RIAD_IDK</w:t>
            </w:r>
          </w:p>
        </w:tc>
        <w:tc>
          <w:tcPr>
            <w:tcW w:w="4300" w:type="dxa"/>
            <w:tcBorders>
              <w:right w:val="nil"/>
            </w:tcBorders>
            <w:vAlign w:val="center"/>
          </w:tcPr>
          <w:p w:rsidR="006D5324" w:rsidRPr="00463E1A" w:rsidRDefault="006D5324" w:rsidP="006D5324">
            <w:pPr>
              <w:jc w:val="both"/>
              <w:rPr>
                <w:rFonts w:ascii="Times New Roman" w:hAnsi="Times New Roman"/>
                <w:szCs w:val="22"/>
              </w:rPr>
            </w:pPr>
            <w:r w:rsidRPr="00463E1A">
              <w:rPr>
                <w:rFonts w:ascii="Times New Roman" w:hAnsi="Times New Roman"/>
                <w:szCs w:val="22"/>
              </w:rPr>
              <w:t>Atribut se nemění.</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Identifikátor kontraktu</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D5324" w:rsidRPr="00463E1A" w:rsidRDefault="006D5324" w:rsidP="006D5324">
            <w:pPr>
              <w:jc w:val="both"/>
              <w:rPr>
                <w:rFonts w:ascii="Times New Roman" w:hAnsi="Times New Roman"/>
                <w:szCs w:val="22"/>
              </w:rPr>
            </w:pPr>
            <w:r w:rsidRPr="00463E1A">
              <w:rPr>
                <w:rFonts w:ascii="Times New Roman" w:hAnsi="Times New Roman"/>
                <w:szCs w:val="22"/>
              </w:rPr>
              <w:t>Atribut se nemění.</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Identifikátor instrumentu</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D5324" w:rsidRPr="00463E1A" w:rsidRDefault="006D5324" w:rsidP="006D5324">
            <w:pPr>
              <w:jc w:val="both"/>
              <w:rPr>
                <w:rFonts w:ascii="Times New Roman" w:hAnsi="Times New Roman"/>
                <w:szCs w:val="22"/>
              </w:rPr>
            </w:pPr>
            <w:r w:rsidRPr="00463E1A">
              <w:rPr>
                <w:rFonts w:ascii="Times New Roman" w:hAnsi="Times New Roman"/>
                <w:szCs w:val="22"/>
              </w:rPr>
              <w:t>Atribut se nemění.</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Úroková sazba</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x.xxxxxx</w:t>
            </w:r>
            <w:proofErr w:type="spellEnd"/>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NTRQ</w:t>
            </w:r>
          </w:p>
        </w:tc>
        <w:tc>
          <w:tcPr>
            <w:tcW w:w="4300" w:type="dxa"/>
            <w:tcBorders>
              <w:right w:val="nil"/>
            </w:tcBorders>
            <w:vAlign w:val="center"/>
          </w:tcPr>
          <w:p w:rsidR="006D5324" w:rsidRPr="00463E1A" w:rsidRDefault="008916B6" w:rsidP="006D5324">
            <w:pPr>
              <w:jc w:val="both"/>
              <w:rPr>
                <w:rFonts w:ascii="Times New Roman" w:hAnsi="Times New Roman"/>
                <w:szCs w:val="22"/>
              </w:rPr>
            </w:pPr>
            <w:r w:rsidRPr="00463E1A">
              <w:rPr>
                <w:rFonts w:ascii="Times New Roman" w:hAnsi="Times New Roman"/>
                <w:szCs w:val="22"/>
              </w:rPr>
              <w:t>Atribut může být reportován s hodnotou NTRQ.</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Datum příštího přenastavení úrokové sazby</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dd.mm.yyyy</w:t>
            </w:r>
            <w:proofErr w:type="spellEnd"/>
            <w:r w:rsidRPr="00463E1A">
              <w:rPr>
                <w:rFonts w:ascii="Times New Roman" w:hAnsi="Times New Roman"/>
                <w:szCs w:val="22"/>
              </w:rPr>
              <w:t xml:space="preserve"> OR NTAP</w:t>
            </w:r>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NTRQ</w:t>
            </w:r>
          </w:p>
        </w:tc>
        <w:tc>
          <w:tcPr>
            <w:tcW w:w="4300" w:type="dxa"/>
            <w:tcBorders>
              <w:right w:val="nil"/>
            </w:tcBorders>
            <w:vAlign w:val="center"/>
          </w:tcPr>
          <w:p w:rsidR="006D5324" w:rsidRPr="00463E1A" w:rsidRDefault="008916B6" w:rsidP="006D5324">
            <w:pPr>
              <w:jc w:val="both"/>
              <w:rPr>
                <w:rFonts w:ascii="Times New Roman" w:hAnsi="Times New Roman"/>
                <w:szCs w:val="22"/>
              </w:rPr>
            </w:pPr>
            <w:r w:rsidRPr="00463E1A">
              <w:rPr>
                <w:rFonts w:ascii="Times New Roman" w:hAnsi="Times New Roman"/>
                <w:szCs w:val="22"/>
              </w:rPr>
              <w:t>Atribut může být reportován s hodnotou NTRQ.</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Stav selhání instrumentu</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value</w:t>
            </w:r>
            <w:proofErr w:type="spellEnd"/>
            <w:r w:rsidRPr="00463E1A">
              <w:rPr>
                <w:rFonts w:ascii="Times New Roman" w:hAnsi="Times New Roman"/>
                <w:szCs w:val="22"/>
              </w:rPr>
              <w:t xml:space="preserve"> OR NTAP</w:t>
            </w:r>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NTRQ</w:t>
            </w:r>
          </w:p>
        </w:tc>
        <w:tc>
          <w:tcPr>
            <w:tcW w:w="4300" w:type="dxa"/>
            <w:tcBorders>
              <w:right w:val="nil"/>
            </w:tcBorders>
            <w:vAlign w:val="center"/>
          </w:tcPr>
          <w:p w:rsidR="006D5324" w:rsidRPr="00463E1A" w:rsidRDefault="008916B6" w:rsidP="006D5324">
            <w:pPr>
              <w:jc w:val="both"/>
              <w:rPr>
                <w:rFonts w:ascii="Times New Roman" w:hAnsi="Times New Roman"/>
                <w:szCs w:val="22"/>
              </w:rPr>
            </w:pPr>
            <w:r w:rsidRPr="00463E1A">
              <w:rPr>
                <w:rFonts w:ascii="Times New Roman" w:hAnsi="Times New Roman"/>
                <w:szCs w:val="22"/>
              </w:rPr>
              <w:t>Atribut může být reportován s hodnotou NTRQ.</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Datum stavu selhání instrumentu</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dd.mm.yyyy</w:t>
            </w:r>
            <w:proofErr w:type="spellEnd"/>
            <w:r w:rsidRPr="00463E1A">
              <w:rPr>
                <w:rFonts w:ascii="Times New Roman" w:hAnsi="Times New Roman"/>
                <w:szCs w:val="22"/>
              </w:rPr>
              <w:t xml:space="preserve"> OR NTAP</w:t>
            </w:r>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NTRQ</w:t>
            </w:r>
          </w:p>
        </w:tc>
        <w:tc>
          <w:tcPr>
            <w:tcW w:w="4300" w:type="dxa"/>
            <w:tcBorders>
              <w:right w:val="nil"/>
            </w:tcBorders>
            <w:vAlign w:val="center"/>
          </w:tcPr>
          <w:p w:rsidR="006D5324" w:rsidRPr="00463E1A" w:rsidRDefault="008916B6" w:rsidP="006D5324">
            <w:pPr>
              <w:jc w:val="both"/>
              <w:rPr>
                <w:rFonts w:ascii="Times New Roman" w:hAnsi="Times New Roman"/>
                <w:szCs w:val="22"/>
              </w:rPr>
            </w:pPr>
            <w:r w:rsidRPr="00463E1A">
              <w:rPr>
                <w:rFonts w:ascii="Times New Roman" w:hAnsi="Times New Roman"/>
                <w:szCs w:val="22"/>
              </w:rPr>
              <w:t>Atribut může být reportován s hodnotou NTRQ.</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Převáděná částka</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x.xx</w:t>
            </w:r>
            <w:proofErr w:type="spellEnd"/>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NTRQ</w:t>
            </w:r>
          </w:p>
        </w:tc>
        <w:tc>
          <w:tcPr>
            <w:tcW w:w="4300" w:type="dxa"/>
            <w:tcBorders>
              <w:right w:val="nil"/>
            </w:tcBorders>
            <w:vAlign w:val="center"/>
          </w:tcPr>
          <w:p w:rsidR="006D5324" w:rsidRPr="00463E1A" w:rsidRDefault="008916B6" w:rsidP="006D5324">
            <w:pPr>
              <w:jc w:val="both"/>
              <w:rPr>
                <w:rFonts w:ascii="Times New Roman" w:hAnsi="Times New Roman"/>
                <w:szCs w:val="22"/>
              </w:rPr>
            </w:pPr>
            <w:r w:rsidRPr="00463E1A">
              <w:rPr>
                <w:rFonts w:ascii="Times New Roman" w:hAnsi="Times New Roman"/>
                <w:szCs w:val="22"/>
              </w:rPr>
              <w:t>Atribut může být reportován s hodnotou NTRQ.</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Nedoplatky za instrument: jistina</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x.xx</w:t>
            </w:r>
            <w:proofErr w:type="spellEnd"/>
          </w:p>
        </w:tc>
        <w:tc>
          <w:tcPr>
            <w:tcW w:w="1486" w:type="dxa"/>
            <w:vAlign w:val="center"/>
          </w:tcPr>
          <w:p w:rsidR="006D5324" w:rsidRPr="00463E1A" w:rsidRDefault="00365B1B" w:rsidP="006D5324">
            <w:pPr>
              <w:rPr>
                <w:rFonts w:ascii="Times New Roman" w:hAnsi="Times New Roman"/>
                <w:szCs w:val="22"/>
              </w:rPr>
            </w:pPr>
            <w:r w:rsidRPr="00463E1A">
              <w:rPr>
                <w:rFonts w:ascii="Times New Roman" w:hAnsi="Times New Roman"/>
                <w:szCs w:val="22"/>
              </w:rPr>
              <w:t>NTRQ</w:t>
            </w:r>
          </w:p>
        </w:tc>
        <w:tc>
          <w:tcPr>
            <w:tcW w:w="4300" w:type="dxa"/>
            <w:tcBorders>
              <w:right w:val="nil"/>
            </w:tcBorders>
            <w:vAlign w:val="center"/>
          </w:tcPr>
          <w:p w:rsidR="006D5324" w:rsidRPr="00463E1A" w:rsidRDefault="00365B1B" w:rsidP="006D5324">
            <w:pPr>
              <w:jc w:val="both"/>
              <w:rPr>
                <w:rFonts w:ascii="Times New Roman" w:hAnsi="Times New Roman"/>
                <w:szCs w:val="22"/>
              </w:rPr>
            </w:pPr>
            <w:r w:rsidRPr="00463E1A">
              <w:rPr>
                <w:rFonts w:ascii="Times New Roman" w:hAnsi="Times New Roman"/>
                <w:szCs w:val="22"/>
              </w:rPr>
              <w:t>Atribut může být reportován s hodnotou NTRQ.</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Nedoplatky za instrument: úroky a poplatky</w:t>
            </w:r>
          </w:p>
        </w:tc>
        <w:tc>
          <w:tcPr>
            <w:tcW w:w="1486" w:type="dxa"/>
            <w:vAlign w:val="center"/>
          </w:tcPr>
          <w:p w:rsidR="006D5324" w:rsidRPr="00463E1A" w:rsidRDefault="006D5324" w:rsidP="006D5324">
            <w:pPr>
              <w:rPr>
                <w:rFonts w:ascii="Times New Roman" w:hAnsi="Times New Roman"/>
                <w:szCs w:val="22"/>
                <w:lang w:val="en-US"/>
              </w:rPr>
            </w:pPr>
            <w:proofErr w:type="spellStart"/>
            <w:r w:rsidRPr="00463E1A">
              <w:rPr>
                <w:rFonts w:ascii="Times New Roman" w:hAnsi="Times New Roman"/>
                <w:szCs w:val="22"/>
              </w:rPr>
              <w:t>x.xx</w:t>
            </w:r>
            <w:proofErr w:type="spellEnd"/>
          </w:p>
        </w:tc>
        <w:tc>
          <w:tcPr>
            <w:tcW w:w="1486" w:type="dxa"/>
            <w:vAlign w:val="center"/>
          </w:tcPr>
          <w:p w:rsidR="006D5324" w:rsidRPr="00463E1A" w:rsidRDefault="00365B1B" w:rsidP="006D5324">
            <w:pPr>
              <w:rPr>
                <w:rFonts w:ascii="Times New Roman" w:hAnsi="Times New Roman"/>
                <w:szCs w:val="22"/>
              </w:rPr>
            </w:pPr>
            <w:r w:rsidRPr="00463E1A">
              <w:rPr>
                <w:rFonts w:ascii="Times New Roman" w:hAnsi="Times New Roman"/>
                <w:szCs w:val="22"/>
              </w:rPr>
              <w:t>NTRQ</w:t>
            </w:r>
          </w:p>
        </w:tc>
        <w:tc>
          <w:tcPr>
            <w:tcW w:w="4300" w:type="dxa"/>
            <w:tcBorders>
              <w:right w:val="nil"/>
            </w:tcBorders>
            <w:vAlign w:val="center"/>
          </w:tcPr>
          <w:p w:rsidR="006D5324" w:rsidRPr="00463E1A" w:rsidRDefault="00365B1B" w:rsidP="006D5324">
            <w:pPr>
              <w:jc w:val="both"/>
              <w:rPr>
                <w:rFonts w:ascii="Times New Roman" w:hAnsi="Times New Roman"/>
                <w:szCs w:val="22"/>
              </w:rPr>
            </w:pPr>
            <w:r w:rsidRPr="00463E1A">
              <w:rPr>
                <w:rFonts w:ascii="Times New Roman" w:hAnsi="Times New Roman"/>
                <w:szCs w:val="22"/>
              </w:rPr>
              <w:t>Atribut může být reportován s hodnotou NTRQ.</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Datum instrumentu po splatnosti</w:t>
            </w:r>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 xml:space="preserve">NTAP OR </w:t>
            </w:r>
            <w:proofErr w:type="spellStart"/>
            <w:r w:rsidRPr="00463E1A">
              <w:rPr>
                <w:rFonts w:ascii="Times New Roman" w:hAnsi="Times New Roman"/>
                <w:szCs w:val="22"/>
              </w:rPr>
              <w:t>dd.mm.yyyy</w:t>
            </w:r>
            <w:proofErr w:type="spellEnd"/>
          </w:p>
        </w:tc>
        <w:tc>
          <w:tcPr>
            <w:tcW w:w="1486" w:type="dxa"/>
            <w:vAlign w:val="center"/>
          </w:tcPr>
          <w:p w:rsidR="006D5324" w:rsidRPr="00463E1A" w:rsidRDefault="00365B1B" w:rsidP="006D5324">
            <w:pPr>
              <w:rPr>
                <w:rFonts w:ascii="Times New Roman" w:hAnsi="Times New Roman"/>
                <w:szCs w:val="22"/>
              </w:rPr>
            </w:pPr>
            <w:r w:rsidRPr="00463E1A">
              <w:rPr>
                <w:rFonts w:ascii="Times New Roman" w:hAnsi="Times New Roman"/>
                <w:szCs w:val="22"/>
              </w:rPr>
              <w:t>NTRQ</w:t>
            </w:r>
          </w:p>
        </w:tc>
        <w:tc>
          <w:tcPr>
            <w:tcW w:w="4300" w:type="dxa"/>
            <w:tcBorders>
              <w:right w:val="nil"/>
            </w:tcBorders>
            <w:vAlign w:val="center"/>
          </w:tcPr>
          <w:p w:rsidR="006D5324" w:rsidRPr="00463E1A" w:rsidRDefault="00365B1B" w:rsidP="006D5324">
            <w:pPr>
              <w:jc w:val="both"/>
              <w:rPr>
                <w:rFonts w:ascii="Times New Roman" w:hAnsi="Times New Roman"/>
                <w:szCs w:val="22"/>
              </w:rPr>
            </w:pPr>
            <w:r w:rsidRPr="00463E1A">
              <w:rPr>
                <w:rFonts w:ascii="Times New Roman" w:hAnsi="Times New Roman"/>
                <w:szCs w:val="22"/>
              </w:rPr>
              <w:t>Atribut může být reportován s hodnotou NTRQ.</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 xml:space="preserve">Typ </w:t>
            </w:r>
            <w:proofErr w:type="spellStart"/>
            <w:r w:rsidRPr="00463E1A">
              <w:rPr>
                <w:rFonts w:ascii="Times New Roman" w:hAnsi="Times New Roman"/>
                <w:b/>
                <w:color w:val="365F91" w:themeColor="accent1" w:themeShade="BF"/>
                <w:szCs w:val="22"/>
              </w:rPr>
              <w:t>sekuritizace</w:t>
            </w:r>
            <w:proofErr w:type="spellEnd"/>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NTRQ</w:t>
            </w:r>
          </w:p>
        </w:tc>
        <w:tc>
          <w:tcPr>
            <w:tcW w:w="4300" w:type="dxa"/>
            <w:tcBorders>
              <w:right w:val="nil"/>
            </w:tcBorders>
            <w:vAlign w:val="center"/>
          </w:tcPr>
          <w:p w:rsidR="006D5324" w:rsidRPr="00463E1A" w:rsidRDefault="008916B6" w:rsidP="006D5324">
            <w:pPr>
              <w:jc w:val="both"/>
              <w:rPr>
                <w:rFonts w:ascii="Times New Roman" w:hAnsi="Times New Roman"/>
                <w:szCs w:val="22"/>
              </w:rPr>
            </w:pPr>
            <w:r w:rsidRPr="00463E1A">
              <w:rPr>
                <w:rFonts w:ascii="Times New Roman" w:hAnsi="Times New Roman"/>
                <w:szCs w:val="22"/>
              </w:rPr>
              <w:t>Atribut může být reportován s hodnotou NTRQ.</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lastRenderedPageBreak/>
              <w:t>Nesplacená nominální hodnota</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x.xx</w:t>
            </w:r>
            <w:proofErr w:type="spellEnd"/>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0.00</w:t>
            </w:r>
          </w:p>
        </w:tc>
        <w:tc>
          <w:tcPr>
            <w:tcW w:w="4300" w:type="dxa"/>
            <w:tcBorders>
              <w:right w:val="nil"/>
            </w:tcBorders>
            <w:vAlign w:val="center"/>
          </w:tcPr>
          <w:p w:rsidR="006D5324" w:rsidRPr="00463E1A" w:rsidRDefault="006D5324" w:rsidP="006D5324">
            <w:pPr>
              <w:jc w:val="both"/>
              <w:rPr>
                <w:rFonts w:ascii="Times New Roman" w:hAnsi="Times New Roman"/>
                <w:szCs w:val="22"/>
              </w:rPr>
            </w:pPr>
            <w:r w:rsidRPr="00463E1A">
              <w:rPr>
                <w:rFonts w:ascii="Times New Roman" w:hAnsi="Times New Roman"/>
                <w:szCs w:val="22"/>
              </w:rPr>
              <w:t>Atribut musí být v období (T) nulový.</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Naběhlý úrok</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lang w:val="en-US"/>
              </w:rPr>
              <w:t>x.xx</w:t>
            </w:r>
            <w:proofErr w:type="spellEnd"/>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NTRQ</w:t>
            </w:r>
          </w:p>
        </w:tc>
        <w:tc>
          <w:tcPr>
            <w:tcW w:w="4300" w:type="dxa"/>
            <w:tcBorders>
              <w:right w:val="nil"/>
            </w:tcBorders>
            <w:vAlign w:val="center"/>
          </w:tcPr>
          <w:p w:rsidR="006D5324" w:rsidRPr="00463E1A" w:rsidRDefault="008916B6" w:rsidP="006D5324">
            <w:pPr>
              <w:jc w:val="both"/>
              <w:rPr>
                <w:rFonts w:ascii="Times New Roman" w:hAnsi="Times New Roman"/>
                <w:szCs w:val="22"/>
              </w:rPr>
            </w:pPr>
            <w:r w:rsidRPr="00463E1A">
              <w:rPr>
                <w:rFonts w:ascii="Times New Roman" w:hAnsi="Times New Roman"/>
                <w:szCs w:val="22"/>
              </w:rPr>
              <w:t>Atribut může být reportován s hodnotou NTRQ.</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Hodnota podrozvahových položek</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x.xx</w:t>
            </w:r>
            <w:proofErr w:type="spellEnd"/>
            <w:r w:rsidRPr="00463E1A">
              <w:rPr>
                <w:rFonts w:ascii="Times New Roman" w:hAnsi="Times New Roman"/>
                <w:szCs w:val="22"/>
              </w:rPr>
              <w:t xml:space="preserve"> OR NTAP</w:t>
            </w:r>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NTAP</w:t>
            </w:r>
          </w:p>
        </w:tc>
        <w:tc>
          <w:tcPr>
            <w:tcW w:w="4300" w:type="dxa"/>
            <w:tcBorders>
              <w:right w:val="nil"/>
            </w:tcBorders>
            <w:vAlign w:val="center"/>
          </w:tcPr>
          <w:p w:rsidR="006D5324" w:rsidRPr="00463E1A" w:rsidRDefault="006D5324" w:rsidP="00277322">
            <w:pPr>
              <w:jc w:val="both"/>
              <w:rPr>
                <w:rFonts w:ascii="Times New Roman" w:hAnsi="Times New Roman"/>
                <w:szCs w:val="22"/>
              </w:rPr>
            </w:pPr>
            <w:r w:rsidRPr="00463E1A">
              <w:rPr>
                <w:rFonts w:ascii="Times New Roman" w:hAnsi="Times New Roman"/>
                <w:szCs w:val="22"/>
              </w:rPr>
              <w:t xml:space="preserve">Pro zcela odepsané instrumenty musí atribut nabývat </w:t>
            </w:r>
            <w:r w:rsidR="00277322" w:rsidRPr="00463E1A">
              <w:rPr>
                <w:rFonts w:ascii="Times New Roman" w:hAnsi="Times New Roman"/>
                <w:szCs w:val="22"/>
              </w:rPr>
              <w:t>hodnoty NTAP</w:t>
            </w:r>
            <w:r w:rsidRPr="00463E1A">
              <w:rPr>
                <w:rFonts w:ascii="Times New Roman" w:hAnsi="Times New Roman"/>
                <w:szCs w:val="22"/>
              </w:rPr>
              <w:t xml:space="preserve"> v období (T).</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Bezúročný úvěr</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lang w:val="en-US"/>
              </w:rPr>
              <w:t>x.xx</w:t>
            </w:r>
            <w:proofErr w:type="spellEnd"/>
            <w:r w:rsidRPr="00463E1A">
              <w:rPr>
                <w:rFonts w:ascii="Times New Roman" w:hAnsi="Times New Roman"/>
                <w:szCs w:val="22"/>
                <w:lang w:val="en-US"/>
              </w:rPr>
              <w:t xml:space="preserve"> OR NTAP</w:t>
            </w:r>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NTRQ</w:t>
            </w:r>
          </w:p>
        </w:tc>
        <w:tc>
          <w:tcPr>
            <w:tcW w:w="4300" w:type="dxa"/>
            <w:tcBorders>
              <w:right w:val="nil"/>
            </w:tcBorders>
            <w:vAlign w:val="center"/>
          </w:tcPr>
          <w:p w:rsidR="006D5324" w:rsidRPr="00463E1A" w:rsidRDefault="008916B6" w:rsidP="006D5324">
            <w:pPr>
              <w:jc w:val="both"/>
              <w:rPr>
                <w:rFonts w:ascii="Times New Roman" w:hAnsi="Times New Roman"/>
                <w:szCs w:val="22"/>
              </w:rPr>
            </w:pPr>
            <w:r w:rsidRPr="00463E1A">
              <w:rPr>
                <w:rFonts w:ascii="Times New Roman" w:hAnsi="Times New Roman"/>
                <w:szCs w:val="22"/>
              </w:rPr>
              <w:t>Atribut může být reportován s hodnotou NTRQ.</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Úročený úvěr</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lang w:val="en-US"/>
              </w:rPr>
              <w:t>x.xx</w:t>
            </w:r>
            <w:proofErr w:type="spellEnd"/>
            <w:r w:rsidRPr="00463E1A">
              <w:rPr>
                <w:rFonts w:ascii="Times New Roman" w:hAnsi="Times New Roman"/>
                <w:szCs w:val="22"/>
              </w:rPr>
              <w:t xml:space="preserve"> OR NTAP</w:t>
            </w:r>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NTRQ</w:t>
            </w:r>
          </w:p>
        </w:tc>
        <w:tc>
          <w:tcPr>
            <w:tcW w:w="4300" w:type="dxa"/>
            <w:tcBorders>
              <w:right w:val="nil"/>
            </w:tcBorders>
            <w:vAlign w:val="center"/>
          </w:tcPr>
          <w:p w:rsidR="006D5324" w:rsidRPr="00463E1A" w:rsidRDefault="008916B6" w:rsidP="006D5324">
            <w:pPr>
              <w:jc w:val="both"/>
              <w:rPr>
                <w:rFonts w:ascii="Times New Roman" w:hAnsi="Times New Roman"/>
                <w:szCs w:val="22"/>
              </w:rPr>
            </w:pPr>
            <w:r w:rsidRPr="00463E1A">
              <w:rPr>
                <w:rFonts w:ascii="Times New Roman" w:hAnsi="Times New Roman"/>
                <w:szCs w:val="22"/>
              </w:rPr>
              <w:t>Atribut může být reportován s hodnotou NTRQ.</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Efektivní úroková sazba</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x.xxxxxx</w:t>
            </w:r>
            <w:proofErr w:type="spellEnd"/>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NTRQ</w:t>
            </w:r>
          </w:p>
        </w:tc>
        <w:tc>
          <w:tcPr>
            <w:tcW w:w="4300" w:type="dxa"/>
            <w:tcBorders>
              <w:right w:val="nil"/>
            </w:tcBorders>
            <w:vAlign w:val="center"/>
          </w:tcPr>
          <w:p w:rsidR="006D5324" w:rsidRPr="00463E1A" w:rsidRDefault="008916B6" w:rsidP="006D5324">
            <w:pPr>
              <w:jc w:val="both"/>
              <w:rPr>
                <w:rFonts w:ascii="Times New Roman" w:hAnsi="Times New Roman"/>
                <w:szCs w:val="22"/>
              </w:rPr>
            </w:pPr>
            <w:r w:rsidRPr="00463E1A">
              <w:rPr>
                <w:rFonts w:ascii="Times New Roman" w:hAnsi="Times New Roman"/>
                <w:szCs w:val="22"/>
              </w:rPr>
              <w:t>Atribut může být reportován s hodnotou NTRQ.</w:t>
            </w:r>
          </w:p>
        </w:tc>
      </w:tr>
      <w:tr w:rsidR="006D5324" w:rsidRPr="00463E1A" w:rsidTr="006D5324">
        <w:trPr>
          <w:trHeight w:val="283"/>
        </w:trPr>
        <w:tc>
          <w:tcPr>
            <w:tcW w:w="2185" w:type="dxa"/>
            <w:tcBorders>
              <w:left w:val="nil"/>
              <w:bottom w:val="single" w:sz="4" w:space="0" w:color="auto"/>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Příznak řádku</w:t>
            </w:r>
          </w:p>
        </w:tc>
        <w:tc>
          <w:tcPr>
            <w:tcW w:w="1486" w:type="dxa"/>
            <w:tcBorders>
              <w:bottom w:val="single" w:sz="4" w:space="0" w:color="auto"/>
            </w:tcBorders>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Standardní řádek</w:t>
            </w:r>
          </w:p>
        </w:tc>
        <w:tc>
          <w:tcPr>
            <w:tcW w:w="1486" w:type="dxa"/>
            <w:tcBorders>
              <w:bottom w:val="single" w:sz="4" w:space="0" w:color="auto"/>
            </w:tcBorders>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Standardní řádek</w:t>
            </w:r>
          </w:p>
        </w:tc>
        <w:tc>
          <w:tcPr>
            <w:tcW w:w="4300" w:type="dxa"/>
            <w:tcBorders>
              <w:bottom w:val="single" w:sz="4" w:space="0" w:color="auto"/>
              <w:right w:val="nil"/>
            </w:tcBorders>
            <w:vAlign w:val="center"/>
          </w:tcPr>
          <w:p w:rsidR="006D5324" w:rsidRPr="00463E1A" w:rsidRDefault="006D5324" w:rsidP="006D5324">
            <w:pPr>
              <w:jc w:val="both"/>
              <w:rPr>
                <w:rFonts w:ascii="Times New Roman" w:hAnsi="Times New Roman"/>
                <w:szCs w:val="22"/>
              </w:rPr>
            </w:pPr>
            <w:r w:rsidRPr="00463E1A">
              <w:rPr>
                <w:rFonts w:ascii="Times New Roman" w:hAnsi="Times New Roman"/>
                <w:szCs w:val="22"/>
              </w:rPr>
              <w:t>Procesní atribut, který slouží ke konsolidaci dat v databázi ČNB. Hodnota tohoto atributu není podmíněna stavem instrumentu, v tomto případě jeho ukončením.</w:t>
            </w:r>
          </w:p>
        </w:tc>
      </w:tr>
      <w:tr w:rsidR="006D5324" w:rsidRPr="00463E1A" w:rsidTr="006D5324">
        <w:trPr>
          <w:trHeight w:val="283"/>
        </w:trPr>
        <w:tc>
          <w:tcPr>
            <w:tcW w:w="9457" w:type="dxa"/>
            <w:gridSpan w:val="4"/>
            <w:tcBorders>
              <w:left w:val="nil"/>
              <w:bottom w:val="single" w:sz="4" w:space="0" w:color="auto"/>
              <w:right w:val="nil"/>
            </w:tcBorders>
            <w:vAlign w:val="center"/>
          </w:tcPr>
          <w:p w:rsidR="006D5324" w:rsidRPr="00463E1A" w:rsidRDefault="006D5324" w:rsidP="006D5324">
            <w:pPr>
              <w:spacing w:before="240" w:after="120"/>
              <w:jc w:val="both"/>
              <w:rPr>
                <w:rFonts w:ascii="Times New Roman" w:hAnsi="Times New Roman"/>
                <w:i/>
                <w:szCs w:val="22"/>
              </w:rPr>
            </w:pPr>
            <w:r w:rsidRPr="00463E1A">
              <w:rPr>
                <w:rFonts w:ascii="Times New Roman" w:hAnsi="Times New Roman"/>
                <w:i/>
                <w:szCs w:val="22"/>
              </w:rPr>
              <w:t xml:space="preserve">PANACR04 je statický výkaz, v rámci kterého se nemění žádné atributy sloužící pro identifikaci protistrany či odepsaného instrumentu. Atribut „Obchodní jednotka banky“ může nabývat hodnoty „Not </w:t>
            </w:r>
            <w:proofErr w:type="spellStart"/>
            <w:r w:rsidRPr="00463E1A">
              <w:rPr>
                <w:rFonts w:ascii="Times New Roman" w:hAnsi="Times New Roman"/>
                <w:i/>
                <w:szCs w:val="22"/>
              </w:rPr>
              <w:t>required</w:t>
            </w:r>
            <w:proofErr w:type="spellEnd"/>
            <w:r w:rsidRPr="00463E1A">
              <w:rPr>
                <w:rFonts w:ascii="Times New Roman" w:hAnsi="Times New Roman"/>
                <w:i/>
                <w:szCs w:val="22"/>
              </w:rPr>
              <w:t>“.</w:t>
            </w:r>
          </w:p>
        </w:tc>
      </w:tr>
      <w:tr w:rsidR="006D5324" w:rsidRPr="00463E1A" w:rsidTr="006D5324">
        <w:trPr>
          <w:trHeight w:val="283"/>
        </w:trPr>
        <w:tc>
          <w:tcPr>
            <w:tcW w:w="9457" w:type="dxa"/>
            <w:gridSpan w:val="4"/>
            <w:tcBorders>
              <w:left w:val="nil"/>
              <w:right w:val="nil"/>
            </w:tcBorders>
            <w:vAlign w:val="center"/>
          </w:tcPr>
          <w:p w:rsidR="006D5324" w:rsidRPr="00463E1A" w:rsidRDefault="006D5324" w:rsidP="006D5324">
            <w:pPr>
              <w:rPr>
                <w:rFonts w:ascii="Times New Roman" w:hAnsi="Times New Roman"/>
                <w:color w:val="365F91" w:themeColor="accent1" w:themeShade="BF"/>
                <w:szCs w:val="22"/>
              </w:rPr>
            </w:pPr>
            <w:r w:rsidRPr="00463E1A">
              <w:rPr>
                <w:rFonts w:ascii="Times New Roman" w:hAnsi="Times New Roman"/>
                <w:b/>
                <w:color w:val="365F91" w:themeColor="accent1" w:themeShade="BF"/>
                <w:szCs w:val="22"/>
                <w:lang w:val="en-GB"/>
              </w:rPr>
              <w:t>PANACR04 (Counterparty - Instrument)</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Atribut</w:t>
            </w:r>
          </w:p>
        </w:tc>
        <w:tc>
          <w:tcPr>
            <w:tcW w:w="1486" w:type="dxa"/>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(T-1)</w:t>
            </w:r>
          </w:p>
        </w:tc>
        <w:tc>
          <w:tcPr>
            <w:tcW w:w="1486" w:type="dxa"/>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(T)</w:t>
            </w:r>
          </w:p>
        </w:tc>
        <w:tc>
          <w:tcPr>
            <w:tcW w:w="4300" w:type="dxa"/>
            <w:tcBorders>
              <w:righ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Poznámka</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Identifikátor sledovaného subjektu</w:t>
            </w:r>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RIAD_IDK</w:t>
            </w:r>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RIAD_IDK</w:t>
            </w:r>
          </w:p>
        </w:tc>
        <w:tc>
          <w:tcPr>
            <w:tcW w:w="4300" w:type="dxa"/>
            <w:tcBorders>
              <w:right w:val="nil"/>
            </w:tcBorders>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Atribut se nemění.</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Identifikátor kontraktu</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Atribut se nemění.</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Identifikátor instrumentu</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Atribut se nemění.</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Identifikátor protistrany</w:t>
            </w:r>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RIAD_IDK</w:t>
            </w:r>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RIAD_IDK</w:t>
            </w:r>
          </w:p>
        </w:tc>
        <w:tc>
          <w:tcPr>
            <w:tcW w:w="4300" w:type="dxa"/>
            <w:tcBorders>
              <w:right w:val="nil"/>
            </w:tcBorders>
            <w:vAlign w:val="center"/>
          </w:tcPr>
          <w:p w:rsidR="006D5324" w:rsidRPr="00463E1A" w:rsidRDefault="006D5324" w:rsidP="006D5324">
            <w:pPr>
              <w:jc w:val="both"/>
              <w:rPr>
                <w:rFonts w:ascii="Times New Roman" w:hAnsi="Times New Roman"/>
                <w:szCs w:val="22"/>
              </w:rPr>
            </w:pPr>
            <w:r w:rsidRPr="00463E1A">
              <w:rPr>
                <w:rFonts w:ascii="Times New Roman" w:hAnsi="Times New Roman"/>
                <w:szCs w:val="22"/>
              </w:rPr>
              <w:t>Atribut se nemění.</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Typ protistrany</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D5324" w:rsidRPr="00463E1A" w:rsidRDefault="006D5324" w:rsidP="006D5324">
            <w:pPr>
              <w:jc w:val="both"/>
              <w:rPr>
                <w:rFonts w:ascii="Times New Roman" w:hAnsi="Times New Roman"/>
                <w:szCs w:val="22"/>
              </w:rPr>
            </w:pPr>
            <w:r w:rsidRPr="00463E1A">
              <w:rPr>
                <w:rFonts w:ascii="Times New Roman" w:hAnsi="Times New Roman"/>
                <w:szCs w:val="22"/>
              </w:rPr>
              <w:t>Atribut se nemění. Velká většina záznamů bude nabývat hodnoty „Právnická osoba s IČO“.</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Role protistrany</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D5324" w:rsidRPr="00463E1A" w:rsidRDefault="006D5324" w:rsidP="006D5324">
            <w:pPr>
              <w:jc w:val="both"/>
              <w:rPr>
                <w:rFonts w:ascii="Times New Roman" w:hAnsi="Times New Roman"/>
                <w:szCs w:val="22"/>
              </w:rPr>
            </w:pPr>
            <w:r w:rsidRPr="00463E1A">
              <w:rPr>
                <w:rFonts w:ascii="Times New Roman" w:hAnsi="Times New Roman"/>
                <w:szCs w:val="22"/>
              </w:rPr>
              <w:t>Atribut se nemění.</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Národní identifikátor</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D5324" w:rsidRPr="00463E1A" w:rsidRDefault="006D5324" w:rsidP="006D5324">
            <w:pPr>
              <w:jc w:val="both"/>
              <w:rPr>
                <w:rFonts w:ascii="Times New Roman" w:hAnsi="Times New Roman"/>
                <w:szCs w:val="22"/>
              </w:rPr>
            </w:pPr>
            <w:r w:rsidRPr="00463E1A">
              <w:rPr>
                <w:rFonts w:ascii="Times New Roman" w:hAnsi="Times New Roman"/>
                <w:szCs w:val="22"/>
              </w:rPr>
              <w:t>Atribut se nemění. Pro české klienty bude reportováno především IČO, tj. 8-místný číselný kód.</w:t>
            </w:r>
          </w:p>
        </w:tc>
      </w:tr>
      <w:tr w:rsidR="005967D2" w:rsidRPr="00463E1A" w:rsidTr="006D5324">
        <w:trPr>
          <w:trHeight w:val="283"/>
        </w:trPr>
        <w:tc>
          <w:tcPr>
            <w:tcW w:w="2185" w:type="dxa"/>
            <w:tcBorders>
              <w:left w:val="nil"/>
            </w:tcBorders>
            <w:vAlign w:val="center"/>
          </w:tcPr>
          <w:p w:rsidR="005967D2" w:rsidRPr="00463E1A" w:rsidRDefault="005967D2"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Typ národního identifikátoru</w:t>
            </w:r>
          </w:p>
        </w:tc>
        <w:tc>
          <w:tcPr>
            <w:tcW w:w="1486" w:type="dxa"/>
            <w:vAlign w:val="center"/>
          </w:tcPr>
          <w:p w:rsidR="005967D2" w:rsidRPr="00463E1A" w:rsidRDefault="005967D2" w:rsidP="006D5324">
            <w:pPr>
              <w:rPr>
                <w:rFonts w:ascii="Times New Roman" w:hAnsi="Times New Roman"/>
                <w:szCs w:val="22"/>
              </w:rPr>
            </w:pPr>
            <w:proofErr w:type="spellStart"/>
            <w:r w:rsidRPr="00463E1A">
              <w:rPr>
                <w:rFonts w:ascii="Times New Roman" w:hAnsi="Times New Roman"/>
                <w:szCs w:val="22"/>
              </w:rPr>
              <w:t>Value</w:t>
            </w:r>
            <w:proofErr w:type="spellEnd"/>
            <w:r w:rsidRPr="00463E1A">
              <w:rPr>
                <w:rFonts w:ascii="Times New Roman" w:hAnsi="Times New Roman"/>
                <w:szCs w:val="22"/>
              </w:rPr>
              <w:t xml:space="preserve"> nebo NTAP</w:t>
            </w:r>
          </w:p>
        </w:tc>
        <w:tc>
          <w:tcPr>
            <w:tcW w:w="1486" w:type="dxa"/>
            <w:vAlign w:val="center"/>
          </w:tcPr>
          <w:p w:rsidR="005967D2" w:rsidRPr="00463E1A" w:rsidRDefault="005967D2" w:rsidP="006D5324">
            <w:pPr>
              <w:rPr>
                <w:rFonts w:ascii="Times New Roman" w:hAnsi="Times New Roman"/>
                <w:szCs w:val="22"/>
              </w:rPr>
            </w:pPr>
            <w:proofErr w:type="spellStart"/>
            <w:r w:rsidRPr="00463E1A">
              <w:rPr>
                <w:rFonts w:ascii="Times New Roman" w:hAnsi="Times New Roman"/>
                <w:szCs w:val="22"/>
              </w:rPr>
              <w:t>Value</w:t>
            </w:r>
            <w:proofErr w:type="spellEnd"/>
            <w:r w:rsidRPr="00463E1A">
              <w:rPr>
                <w:rFonts w:ascii="Times New Roman" w:hAnsi="Times New Roman"/>
                <w:szCs w:val="22"/>
              </w:rPr>
              <w:t xml:space="preserve"> nebo NTAP</w:t>
            </w:r>
          </w:p>
        </w:tc>
        <w:tc>
          <w:tcPr>
            <w:tcW w:w="4300" w:type="dxa"/>
            <w:tcBorders>
              <w:right w:val="nil"/>
            </w:tcBorders>
            <w:vAlign w:val="center"/>
          </w:tcPr>
          <w:p w:rsidR="005967D2" w:rsidRPr="00463E1A" w:rsidRDefault="00F84BCD" w:rsidP="00F5728E">
            <w:pPr>
              <w:jc w:val="both"/>
              <w:rPr>
                <w:rFonts w:ascii="Times New Roman" w:hAnsi="Times New Roman"/>
                <w:szCs w:val="22"/>
              </w:rPr>
            </w:pPr>
            <w:r w:rsidRPr="00463E1A">
              <w:rPr>
                <w:rFonts w:ascii="Times New Roman" w:hAnsi="Times New Roman"/>
                <w:szCs w:val="22"/>
              </w:rPr>
              <w:t>Atribut j</w:t>
            </w:r>
            <w:r w:rsidR="005967D2" w:rsidRPr="00463E1A">
              <w:rPr>
                <w:rFonts w:ascii="Times New Roman" w:hAnsi="Times New Roman"/>
                <w:szCs w:val="22"/>
              </w:rPr>
              <w:t>e nepovinný, může být vyplněn hodnotu NTAP</w:t>
            </w:r>
            <w:r w:rsidR="00F5728E" w:rsidRPr="00463E1A">
              <w:rPr>
                <w:rFonts w:ascii="Times New Roman" w:hAnsi="Times New Roman"/>
                <w:szCs w:val="22"/>
              </w:rPr>
              <w:t xml:space="preserve"> počínaje metodikou ANA20190601</w:t>
            </w:r>
            <w:r w:rsidR="005967D2" w:rsidRPr="00463E1A">
              <w:rPr>
                <w:rFonts w:ascii="Times New Roman" w:hAnsi="Times New Roman"/>
                <w:szCs w:val="22"/>
              </w:rPr>
              <w:t>.</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Obchodní jednotka banky</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NTRQ</w:t>
            </w:r>
          </w:p>
        </w:tc>
        <w:tc>
          <w:tcPr>
            <w:tcW w:w="4300" w:type="dxa"/>
            <w:tcBorders>
              <w:right w:val="nil"/>
            </w:tcBorders>
            <w:vAlign w:val="center"/>
          </w:tcPr>
          <w:p w:rsidR="006D5324" w:rsidRPr="00463E1A" w:rsidRDefault="008916B6" w:rsidP="006D5324">
            <w:pPr>
              <w:jc w:val="both"/>
              <w:rPr>
                <w:rFonts w:ascii="Times New Roman" w:hAnsi="Times New Roman"/>
                <w:szCs w:val="22"/>
              </w:rPr>
            </w:pPr>
            <w:r w:rsidRPr="00463E1A">
              <w:rPr>
                <w:rFonts w:ascii="Times New Roman" w:hAnsi="Times New Roman"/>
                <w:szCs w:val="22"/>
              </w:rPr>
              <w:t>Atribut může být reportován s hodnotou NTRQ.</w:t>
            </w:r>
          </w:p>
        </w:tc>
      </w:tr>
      <w:tr w:rsidR="006D5324" w:rsidRPr="00463E1A" w:rsidTr="006D5324">
        <w:trPr>
          <w:trHeight w:val="283"/>
        </w:trPr>
        <w:tc>
          <w:tcPr>
            <w:tcW w:w="2185" w:type="dxa"/>
            <w:tcBorders>
              <w:left w:val="nil"/>
              <w:bottom w:val="single" w:sz="4" w:space="0" w:color="auto"/>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Příznak řádku</w:t>
            </w:r>
          </w:p>
        </w:tc>
        <w:tc>
          <w:tcPr>
            <w:tcW w:w="1486" w:type="dxa"/>
            <w:tcBorders>
              <w:bottom w:val="single" w:sz="4" w:space="0" w:color="auto"/>
            </w:tcBorders>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Standardní řádek</w:t>
            </w:r>
          </w:p>
        </w:tc>
        <w:tc>
          <w:tcPr>
            <w:tcW w:w="1486" w:type="dxa"/>
            <w:tcBorders>
              <w:bottom w:val="single" w:sz="4" w:space="0" w:color="auto"/>
            </w:tcBorders>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Standardní řádek</w:t>
            </w:r>
          </w:p>
        </w:tc>
        <w:tc>
          <w:tcPr>
            <w:tcW w:w="4300" w:type="dxa"/>
            <w:tcBorders>
              <w:bottom w:val="single" w:sz="4" w:space="0" w:color="auto"/>
              <w:right w:val="nil"/>
            </w:tcBorders>
            <w:vAlign w:val="center"/>
          </w:tcPr>
          <w:p w:rsidR="006D5324" w:rsidRPr="00463E1A" w:rsidRDefault="006D5324" w:rsidP="006D5324">
            <w:pPr>
              <w:jc w:val="both"/>
              <w:rPr>
                <w:rFonts w:ascii="Times New Roman" w:hAnsi="Times New Roman"/>
                <w:szCs w:val="22"/>
              </w:rPr>
            </w:pPr>
            <w:r w:rsidRPr="00463E1A">
              <w:rPr>
                <w:rFonts w:ascii="Times New Roman" w:hAnsi="Times New Roman"/>
                <w:szCs w:val="22"/>
              </w:rPr>
              <w:t>Procesní atribut, který slouží ke konsolidaci dat v databázi ČNB. Hodnota tohoto atributu není podmíněna stavem instrumentu, v tomto případě jeho ukončením.</w:t>
            </w:r>
          </w:p>
        </w:tc>
      </w:tr>
      <w:tr w:rsidR="006D5324" w:rsidRPr="00463E1A" w:rsidTr="006D5324">
        <w:trPr>
          <w:trHeight w:val="283"/>
        </w:trPr>
        <w:tc>
          <w:tcPr>
            <w:tcW w:w="9457" w:type="dxa"/>
            <w:gridSpan w:val="4"/>
            <w:tcBorders>
              <w:left w:val="nil"/>
              <w:right w:val="nil"/>
            </w:tcBorders>
            <w:vAlign w:val="center"/>
          </w:tcPr>
          <w:p w:rsidR="006D5324" w:rsidRPr="00463E1A" w:rsidRDefault="006D5324" w:rsidP="006D5324">
            <w:pPr>
              <w:spacing w:before="240" w:after="120"/>
              <w:jc w:val="both"/>
              <w:rPr>
                <w:rFonts w:ascii="Times New Roman" w:hAnsi="Times New Roman"/>
                <w:i/>
                <w:color w:val="365F91" w:themeColor="accent1" w:themeShade="BF"/>
                <w:szCs w:val="22"/>
              </w:rPr>
            </w:pPr>
            <w:r w:rsidRPr="00463E1A">
              <w:rPr>
                <w:rFonts w:ascii="Times New Roman" w:hAnsi="Times New Roman"/>
                <w:i/>
                <w:szCs w:val="22"/>
              </w:rPr>
              <w:t xml:space="preserve">Výkaz PANACR05 je reportován do AnaCredit pouze v případě, že je s daným instrumentem spjata více než jedna protistrana v roli dlužníka. Pokud jsou s daným instrumentem spjati dva dlužníci a obě tyto protistrany jsou právnickými osobami podléhající reportingu do AnaCredit, potom jsou v rámci výkazu PANACR05 reportovány dva záznamy. Pokud jsou však s instrumentem spjaty dva dlužníci, přičemž </w:t>
            </w:r>
            <w:r w:rsidRPr="00463E1A">
              <w:rPr>
                <w:rFonts w:ascii="Times New Roman" w:hAnsi="Times New Roman"/>
                <w:i/>
                <w:szCs w:val="22"/>
              </w:rPr>
              <w:lastRenderedPageBreak/>
              <w:t xml:space="preserve">jeden z nich je právnická osoba a druhým je fyzická osoba, potom je v rámci PANACR05 reportován pouze jeden záznam. Přestože je v rámci PANACR05 reportována pouze právnická osoba a její podíl na celkovém dluhu, víme, že k danému instrumentu existuje ještě minimálně jeden další dlužník, který je však fyzickou osobou, a není tak předmětem reportingu do AnaCredit. V případě, že je s daným instrumentem spjatý pouze jeden dlužník (právnická osoba), potom v rámci PANACR05 není reportován žádný záznam. </w:t>
            </w:r>
          </w:p>
        </w:tc>
      </w:tr>
      <w:tr w:rsidR="006D5324" w:rsidRPr="00463E1A" w:rsidTr="006D5324">
        <w:trPr>
          <w:trHeight w:val="283"/>
        </w:trPr>
        <w:tc>
          <w:tcPr>
            <w:tcW w:w="9457" w:type="dxa"/>
            <w:gridSpan w:val="4"/>
            <w:tcBorders>
              <w:left w:val="nil"/>
              <w:right w:val="nil"/>
            </w:tcBorders>
            <w:vAlign w:val="center"/>
          </w:tcPr>
          <w:p w:rsidR="006D5324" w:rsidRPr="00463E1A" w:rsidRDefault="006D5324" w:rsidP="006D5324">
            <w:pPr>
              <w:rPr>
                <w:rFonts w:ascii="Times New Roman" w:hAnsi="Times New Roman"/>
                <w:color w:val="365F91" w:themeColor="accent1" w:themeShade="BF"/>
                <w:szCs w:val="22"/>
              </w:rPr>
            </w:pPr>
            <w:r w:rsidRPr="00463E1A">
              <w:rPr>
                <w:rFonts w:ascii="Times New Roman" w:hAnsi="Times New Roman"/>
                <w:b/>
                <w:color w:val="365F91" w:themeColor="accent1" w:themeShade="BF"/>
                <w:szCs w:val="22"/>
                <w:lang w:val="en-GB"/>
              </w:rPr>
              <w:lastRenderedPageBreak/>
              <w:t>PANACR05 (Joint liabilities)</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Atribut</w:t>
            </w:r>
          </w:p>
        </w:tc>
        <w:tc>
          <w:tcPr>
            <w:tcW w:w="1486" w:type="dxa"/>
            <w:vAlign w:val="center"/>
          </w:tcPr>
          <w:p w:rsidR="006D5324" w:rsidRPr="00463E1A" w:rsidRDefault="006D5324" w:rsidP="006D5324">
            <w:pPr>
              <w:rPr>
                <w:rFonts w:ascii="Times New Roman" w:hAnsi="Times New Roman"/>
                <w:b/>
                <w:color w:val="4F81BD" w:themeColor="accent1"/>
                <w:szCs w:val="22"/>
              </w:rPr>
            </w:pPr>
            <w:r w:rsidRPr="00463E1A">
              <w:rPr>
                <w:rFonts w:ascii="Times New Roman" w:hAnsi="Times New Roman"/>
                <w:b/>
                <w:color w:val="4F81BD" w:themeColor="accent1"/>
                <w:szCs w:val="22"/>
              </w:rPr>
              <w:t>(T-1)</w:t>
            </w:r>
          </w:p>
        </w:tc>
        <w:tc>
          <w:tcPr>
            <w:tcW w:w="1486" w:type="dxa"/>
            <w:vAlign w:val="center"/>
          </w:tcPr>
          <w:p w:rsidR="006D5324" w:rsidRPr="00463E1A" w:rsidRDefault="006D5324" w:rsidP="006D5324">
            <w:pPr>
              <w:rPr>
                <w:rFonts w:ascii="Times New Roman" w:hAnsi="Times New Roman"/>
                <w:b/>
                <w:color w:val="4F81BD" w:themeColor="accent1"/>
                <w:szCs w:val="22"/>
              </w:rPr>
            </w:pPr>
            <w:r w:rsidRPr="00463E1A">
              <w:rPr>
                <w:rFonts w:ascii="Times New Roman" w:hAnsi="Times New Roman"/>
                <w:b/>
                <w:color w:val="4F81BD" w:themeColor="accent1"/>
                <w:szCs w:val="22"/>
              </w:rPr>
              <w:t>(T)</w:t>
            </w:r>
          </w:p>
        </w:tc>
        <w:tc>
          <w:tcPr>
            <w:tcW w:w="4300" w:type="dxa"/>
            <w:tcBorders>
              <w:right w:val="nil"/>
            </w:tcBorders>
            <w:vAlign w:val="center"/>
          </w:tcPr>
          <w:p w:rsidR="006D5324" w:rsidRPr="00463E1A" w:rsidRDefault="006D5324" w:rsidP="006D5324">
            <w:pPr>
              <w:rPr>
                <w:rFonts w:ascii="Times New Roman" w:hAnsi="Times New Roman"/>
                <w:b/>
                <w:color w:val="4F81BD" w:themeColor="accent1"/>
                <w:szCs w:val="22"/>
              </w:rPr>
            </w:pPr>
            <w:r w:rsidRPr="00463E1A">
              <w:rPr>
                <w:rFonts w:ascii="Times New Roman" w:hAnsi="Times New Roman"/>
                <w:b/>
                <w:color w:val="4F81BD" w:themeColor="accent1"/>
                <w:szCs w:val="22"/>
              </w:rPr>
              <w:t>Poznámka</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Identifikátor sledovaného subjektu</w:t>
            </w:r>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RIAD_IDK</w:t>
            </w:r>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RIAD_IDK</w:t>
            </w:r>
          </w:p>
        </w:tc>
        <w:tc>
          <w:tcPr>
            <w:tcW w:w="4300" w:type="dxa"/>
            <w:tcBorders>
              <w:right w:val="nil"/>
            </w:tcBorders>
            <w:vAlign w:val="center"/>
          </w:tcPr>
          <w:p w:rsidR="006D5324" w:rsidRPr="00463E1A" w:rsidRDefault="006D5324" w:rsidP="006D5324">
            <w:pPr>
              <w:jc w:val="both"/>
              <w:rPr>
                <w:rFonts w:ascii="Times New Roman" w:hAnsi="Times New Roman"/>
                <w:szCs w:val="22"/>
              </w:rPr>
            </w:pPr>
            <w:r w:rsidRPr="00463E1A">
              <w:rPr>
                <w:rFonts w:ascii="Times New Roman" w:hAnsi="Times New Roman"/>
                <w:szCs w:val="22"/>
              </w:rPr>
              <w:t>Atribut se nemění.</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Identifikátor kontraktu</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D5324" w:rsidRPr="00463E1A" w:rsidRDefault="006D5324" w:rsidP="006D5324">
            <w:pPr>
              <w:jc w:val="both"/>
              <w:rPr>
                <w:rFonts w:ascii="Times New Roman" w:hAnsi="Times New Roman"/>
                <w:szCs w:val="22"/>
              </w:rPr>
            </w:pPr>
            <w:r w:rsidRPr="00463E1A">
              <w:rPr>
                <w:rFonts w:ascii="Times New Roman" w:hAnsi="Times New Roman"/>
                <w:szCs w:val="22"/>
              </w:rPr>
              <w:t>Atribut se nemění.</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Identifikátor instrumentu</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D5324" w:rsidRPr="00463E1A" w:rsidRDefault="006D5324" w:rsidP="006D5324">
            <w:pPr>
              <w:jc w:val="both"/>
              <w:rPr>
                <w:rFonts w:ascii="Times New Roman" w:hAnsi="Times New Roman"/>
                <w:szCs w:val="22"/>
              </w:rPr>
            </w:pPr>
            <w:r w:rsidRPr="00463E1A">
              <w:rPr>
                <w:rFonts w:ascii="Times New Roman" w:hAnsi="Times New Roman"/>
                <w:szCs w:val="22"/>
              </w:rPr>
              <w:t>Atribut se nemění.</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Identifikátor protistrany</w:t>
            </w:r>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RIAD_IDK</w:t>
            </w:r>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RIAD_IDK</w:t>
            </w:r>
          </w:p>
        </w:tc>
        <w:tc>
          <w:tcPr>
            <w:tcW w:w="4300" w:type="dxa"/>
            <w:tcBorders>
              <w:right w:val="nil"/>
            </w:tcBorders>
            <w:vAlign w:val="center"/>
          </w:tcPr>
          <w:p w:rsidR="006D5324" w:rsidRPr="00463E1A" w:rsidRDefault="006D5324" w:rsidP="006D5324">
            <w:pPr>
              <w:jc w:val="both"/>
              <w:rPr>
                <w:rFonts w:ascii="Times New Roman" w:hAnsi="Times New Roman"/>
                <w:szCs w:val="22"/>
              </w:rPr>
            </w:pPr>
            <w:r w:rsidRPr="00463E1A">
              <w:rPr>
                <w:rFonts w:ascii="Times New Roman" w:hAnsi="Times New Roman"/>
                <w:szCs w:val="22"/>
              </w:rPr>
              <w:t>Atribut se nemění.</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Výše společných závazků</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x.xx</w:t>
            </w:r>
            <w:proofErr w:type="spellEnd"/>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0.00</w:t>
            </w:r>
          </w:p>
        </w:tc>
        <w:tc>
          <w:tcPr>
            <w:tcW w:w="4300" w:type="dxa"/>
            <w:tcBorders>
              <w:right w:val="nil"/>
            </w:tcBorders>
            <w:vAlign w:val="center"/>
          </w:tcPr>
          <w:p w:rsidR="006D5324" w:rsidRPr="00463E1A" w:rsidRDefault="006D5324" w:rsidP="006D5324">
            <w:pPr>
              <w:jc w:val="both"/>
              <w:rPr>
                <w:rFonts w:ascii="Times New Roman" w:hAnsi="Times New Roman"/>
                <w:szCs w:val="22"/>
              </w:rPr>
            </w:pPr>
            <w:r w:rsidRPr="00463E1A">
              <w:rPr>
                <w:rFonts w:ascii="Times New Roman" w:hAnsi="Times New Roman"/>
                <w:szCs w:val="22"/>
              </w:rPr>
              <w:t>Vzhledem ke stanoveným pravidlům musí atribut nabývat nulové hodnoty v období (T).</w:t>
            </w:r>
          </w:p>
        </w:tc>
      </w:tr>
      <w:tr w:rsidR="006D5324" w:rsidRPr="00463E1A" w:rsidTr="006D5324">
        <w:trPr>
          <w:trHeight w:val="283"/>
        </w:trPr>
        <w:tc>
          <w:tcPr>
            <w:tcW w:w="2185" w:type="dxa"/>
            <w:tcBorders>
              <w:left w:val="nil"/>
              <w:bottom w:val="single" w:sz="4" w:space="0" w:color="auto"/>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Příznak řádku</w:t>
            </w:r>
          </w:p>
        </w:tc>
        <w:tc>
          <w:tcPr>
            <w:tcW w:w="1486" w:type="dxa"/>
            <w:tcBorders>
              <w:bottom w:val="single" w:sz="4" w:space="0" w:color="auto"/>
            </w:tcBorders>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Standardní řádek</w:t>
            </w:r>
          </w:p>
        </w:tc>
        <w:tc>
          <w:tcPr>
            <w:tcW w:w="1486" w:type="dxa"/>
            <w:tcBorders>
              <w:bottom w:val="single" w:sz="4" w:space="0" w:color="auto"/>
            </w:tcBorders>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Standardní řádek</w:t>
            </w:r>
          </w:p>
        </w:tc>
        <w:tc>
          <w:tcPr>
            <w:tcW w:w="4300" w:type="dxa"/>
            <w:tcBorders>
              <w:bottom w:val="single" w:sz="4" w:space="0" w:color="auto"/>
              <w:right w:val="nil"/>
            </w:tcBorders>
            <w:vAlign w:val="center"/>
          </w:tcPr>
          <w:p w:rsidR="006D5324" w:rsidRPr="00463E1A" w:rsidRDefault="006D5324" w:rsidP="006D5324">
            <w:pPr>
              <w:jc w:val="both"/>
              <w:rPr>
                <w:rFonts w:ascii="Times New Roman" w:hAnsi="Times New Roman"/>
                <w:szCs w:val="22"/>
              </w:rPr>
            </w:pPr>
            <w:r w:rsidRPr="00463E1A">
              <w:rPr>
                <w:rFonts w:ascii="Times New Roman" w:hAnsi="Times New Roman"/>
                <w:szCs w:val="22"/>
              </w:rPr>
              <w:t>Procesní atribut, který slouží ke konsolidaci dat v databázi ČNB. Hodnota tohoto atributu není podmíněna stavem instrumentu, v tomto případě jeho ukončením.</w:t>
            </w:r>
          </w:p>
        </w:tc>
      </w:tr>
      <w:tr w:rsidR="006D5324" w:rsidRPr="00463E1A" w:rsidTr="006D5324">
        <w:trPr>
          <w:trHeight w:val="283"/>
        </w:trPr>
        <w:tc>
          <w:tcPr>
            <w:tcW w:w="9457" w:type="dxa"/>
            <w:gridSpan w:val="4"/>
            <w:tcBorders>
              <w:left w:val="nil"/>
              <w:bottom w:val="single" w:sz="4" w:space="0" w:color="auto"/>
              <w:right w:val="nil"/>
            </w:tcBorders>
            <w:vAlign w:val="center"/>
          </w:tcPr>
          <w:p w:rsidR="006D5324" w:rsidRPr="00463E1A" w:rsidRDefault="006D5324" w:rsidP="00F84BCD">
            <w:pPr>
              <w:spacing w:before="240" w:after="120"/>
              <w:jc w:val="both"/>
              <w:rPr>
                <w:rFonts w:ascii="Times New Roman" w:hAnsi="Times New Roman"/>
                <w:i/>
                <w:szCs w:val="22"/>
              </w:rPr>
            </w:pPr>
            <w:r w:rsidRPr="00463E1A">
              <w:rPr>
                <w:rFonts w:ascii="Times New Roman" w:hAnsi="Times New Roman"/>
                <w:i/>
                <w:szCs w:val="22"/>
              </w:rPr>
              <w:t>PANACR06 je čtvrtletní výkaz</w:t>
            </w:r>
            <w:r w:rsidR="004E4AE3" w:rsidRPr="00463E1A">
              <w:rPr>
                <w:rFonts w:ascii="Times New Roman" w:hAnsi="Times New Roman"/>
                <w:i/>
                <w:szCs w:val="22"/>
              </w:rPr>
              <w:t xml:space="preserve"> </w:t>
            </w:r>
            <w:r w:rsidRPr="00463E1A">
              <w:rPr>
                <w:rFonts w:ascii="Times New Roman" w:hAnsi="Times New Roman"/>
                <w:i/>
                <w:szCs w:val="22"/>
              </w:rPr>
              <w:t xml:space="preserve">dynamického charakteru, a odráží </w:t>
            </w:r>
            <w:r w:rsidR="004E4AE3" w:rsidRPr="00463E1A">
              <w:rPr>
                <w:rFonts w:ascii="Times New Roman" w:hAnsi="Times New Roman"/>
                <w:i/>
                <w:szCs w:val="22"/>
              </w:rPr>
              <w:t xml:space="preserve">účetní </w:t>
            </w:r>
            <w:r w:rsidRPr="00463E1A">
              <w:rPr>
                <w:rFonts w:ascii="Times New Roman" w:hAnsi="Times New Roman"/>
                <w:i/>
                <w:szCs w:val="22"/>
              </w:rPr>
              <w:t xml:space="preserve">skutečnost daného instrumentu v příslušném období. V případě odepsaných instrumentů nabývají některé atributy předem stanovených hodnot, nicméně většina z nich nabývá hodnoty „Not </w:t>
            </w:r>
            <w:proofErr w:type="spellStart"/>
            <w:r w:rsidRPr="00463E1A">
              <w:rPr>
                <w:rFonts w:ascii="Times New Roman" w:hAnsi="Times New Roman"/>
                <w:i/>
                <w:szCs w:val="22"/>
              </w:rPr>
              <w:t>required</w:t>
            </w:r>
            <w:proofErr w:type="spellEnd"/>
            <w:r w:rsidRPr="00463E1A">
              <w:rPr>
                <w:rFonts w:ascii="Times New Roman" w:hAnsi="Times New Roman"/>
                <w:i/>
                <w:szCs w:val="22"/>
              </w:rPr>
              <w:t xml:space="preserve">“. </w:t>
            </w:r>
          </w:p>
        </w:tc>
      </w:tr>
      <w:tr w:rsidR="006D5324" w:rsidRPr="00463E1A" w:rsidTr="006D5324">
        <w:trPr>
          <w:trHeight w:val="283"/>
        </w:trPr>
        <w:tc>
          <w:tcPr>
            <w:tcW w:w="9457" w:type="dxa"/>
            <w:gridSpan w:val="4"/>
            <w:tcBorders>
              <w:left w:val="nil"/>
              <w:right w:val="nil"/>
            </w:tcBorders>
            <w:vAlign w:val="center"/>
          </w:tcPr>
          <w:p w:rsidR="006D5324" w:rsidRPr="00463E1A" w:rsidRDefault="006D5324" w:rsidP="006D5324">
            <w:pPr>
              <w:rPr>
                <w:rFonts w:ascii="Times New Roman" w:hAnsi="Times New Roman"/>
                <w:color w:val="365F91" w:themeColor="accent1" w:themeShade="BF"/>
                <w:szCs w:val="22"/>
              </w:rPr>
            </w:pPr>
            <w:r w:rsidRPr="00463E1A">
              <w:rPr>
                <w:rFonts w:ascii="Times New Roman" w:hAnsi="Times New Roman"/>
                <w:b/>
                <w:color w:val="365F91" w:themeColor="accent1" w:themeShade="BF"/>
                <w:szCs w:val="22"/>
                <w:lang w:val="en-GB"/>
              </w:rPr>
              <w:t>PANACR06 (Accounting)</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Atribut</w:t>
            </w:r>
          </w:p>
        </w:tc>
        <w:tc>
          <w:tcPr>
            <w:tcW w:w="1486" w:type="dxa"/>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(T-3)</w:t>
            </w:r>
          </w:p>
        </w:tc>
        <w:tc>
          <w:tcPr>
            <w:tcW w:w="1486" w:type="dxa"/>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(T)</w:t>
            </w:r>
          </w:p>
        </w:tc>
        <w:tc>
          <w:tcPr>
            <w:tcW w:w="4300" w:type="dxa"/>
            <w:tcBorders>
              <w:righ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Poznámka</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Identifikátor sledovaného subjektu</w:t>
            </w:r>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RIAD_IDK</w:t>
            </w:r>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RIAD_IDK</w:t>
            </w:r>
          </w:p>
        </w:tc>
        <w:tc>
          <w:tcPr>
            <w:tcW w:w="4300" w:type="dxa"/>
            <w:tcBorders>
              <w:right w:val="nil"/>
            </w:tcBorders>
            <w:vAlign w:val="center"/>
          </w:tcPr>
          <w:p w:rsidR="006D5324" w:rsidRPr="00463E1A" w:rsidRDefault="006D5324" w:rsidP="006D5324">
            <w:pPr>
              <w:jc w:val="both"/>
              <w:rPr>
                <w:rFonts w:ascii="Times New Roman" w:hAnsi="Times New Roman"/>
                <w:szCs w:val="22"/>
              </w:rPr>
            </w:pPr>
            <w:r w:rsidRPr="00463E1A">
              <w:rPr>
                <w:rFonts w:ascii="Times New Roman" w:hAnsi="Times New Roman"/>
                <w:szCs w:val="22"/>
              </w:rPr>
              <w:t>Atribut se nemění.</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Identifikátor kontraktu</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D5324" w:rsidRPr="00463E1A" w:rsidRDefault="006D5324" w:rsidP="006D5324">
            <w:pPr>
              <w:jc w:val="both"/>
              <w:rPr>
                <w:rFonts w:ascii="Times New Roman" w:hAnsi="Times New Roman"/>
                <w:szCs w:val="22"/>
              </w:rPr>
            </w:pPr>
            <w:r w:rsidRPr="00463E1A">
              <w:rPr>
                <w:rFonts w:ascii="Times New Roman" w:hAnsi="Times New Roman"/>
                <w:szCs w:val="22"/>
              </w:rPr>
              <w:t>Atribut se nemění.</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Identifikátor instrumentu</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D5324" w:rsidRPr="00463E1A" w:rsidRDefault="006D5324" w:rsidP="006D5324">
            <w:pPr>
              <w:jc w:val="both"/>
              <w:rPr>
                <w:rFonts w:ascii="Times New Roman" w:hAnsi="Times New Roman"/>
                <w:szCs w:val="22"/>
              </w:rPr>
            </w:pPr>
            <w:r w:rsidRPr="00463E1A">
              <w:rPr>
                <w:rFonts w:ascii="Times New Roman" w:hAnsi="Times New Roman"/>
                <w:szCs w:val="22"/>
              </w:rPr>
              <w:t>Atribut se nemění.</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Účetní klasifikace instrumentů</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value</w:t>
            </w:r>
            <w:proofErr w:type="spellEnd"/>
            <w:r w:rsidRPr="00463E1A">
              <w:rPr>
                <w:rFonts w:ascii="Times New Roman" w:hAnsi="Times New Roman"/>
                <w:szCs w:val="22"/>
              </w:rPr>
              <w:t xml:space="preserve"> OR NTAP</w:t>
            </w:r>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NTRQ</w:t>
            </w:r>
          </w:p>
        </w:tc>
        <w:tc>
          <w:tcPr>
            <w:tcW w:w="4300" w:type="dxa"/>
            <w:tcBorders>
              <w:right w:val="nil"/>
            </w:tcBorders>
            <w:vAlign w:val="center"/>
          </w:tcPr>
          <w:p w:rsidR="006D5324" w:rsidRPr="00463E1A" w:rsidRDefault="000A5912" w:rsidP="006D5324">
            <w:pPr>
              <w:jc w:val="both"/>
              <w:rPr>
                <w:rFonts w:ascii="Times New Roman" w:hAnsi="Times New Roman"/>
                <w:szCs w:val="22"/>
              </w:rPr>
            </w:pPr>
            <w:r w:rsidRPr="00463E1A">
              <w:rPr>
                <w:rFonts w:ascii="Times New Roman" w:hAnsi="Times New Roman"/>
                <w:szCs w:val="22"/>
              </w:rPr>
              <w:t>Atribut může být reportován s hodnotou NTRQ.</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Zachycení v rozvaze</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Odúčtováno v plném rozsahu</w:t>
            </w:r>
          </w:p>
        </w:tc>
        <w:tc>
          <w:tcPr>
            <w:tcW w:w="4300" w:type="dxa"/>
            <w:tcBorders>
              <w:right w:val="nil"/>
            </w:tcBorders>
            <w:vAlign w:val="center"/>
          </w:tcPr>
          <w:p w:rsidR="006D5324" w:rsidRPr="00463E1A" w:rsidRDefault="000A5912" w:rsidP="000A5912">
            <w:pPr>
              <w:jc w:val="both"/>
              <w:rPr>
                <w:rFonts w:ascii="Times New Roman" w:hAnsi="Times New Roman"/>
                <w:szCs w:val="22"/>
              </w:rPr>
            </w:pPr>
            <w:r w:rsidRPr="00463E1A">
              <w:rPr>
                <w:rFonts w:ascii="Times New Roman" w:hAnsi="Times New Roman"/>
                <w:szCs w:val="22"/>
              </w:rPr>
              <w:t>Povinná hodnota pro plně odepsané instrumenty.</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Kumulované odpisy</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lang w:val="en-US"/>
              </w:rPr>
              <w:t>x.xx</w:t>
            </w:r>
            <w:proofErr w:type="spellEnd"/>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x.xx</w:t>
            </w:r>
            <w:proofErr w:type="spellEnd"/>
          </w:p>
        </w:tc>
        <w:tc>
          <w:tcPr>
            <w:tcW w:w="4300" w:type="dxa"/>
            <w:tcBorders>
              <w:right w:val="nil"/>
            </w:tcBorders>
            <w:vAlign w:val="center"/>
          </w:tcPr>
          <w:p w:rsidR="006D5324" w:rsidRPr="00463E1A" w:rsidRDefault="006D5324" w:rsidP="006D5324">
            <w:pPr>
              <w:jc w:val="both"/>
              <w:rPr>
                <w:rFonts w:ascii="Times New Roman" w:hAnsi="Times New Roman"/>
                <w:szCs w:val="22"/>
              </w:rPr>
            </w:pPr>
            <w:r w:rsidRPr="00463E1A">
              <w:rPr>
                <w:rFonts w:ascii="Times New Roman" w:hAnsi="Times New Roman"/>
                <w:szCs w:val="22"/>
              </w:rPr>
              <w:t>Atribut nabývá kladné hodnoty v období (T).</w:t>
            </w:r>
          </w:p>
        </w:tc>
      </w:tr>
      <w:tr w:rsidR="006D5324" w:rsidRPr="00463E1A" w:rsidTr="000A5912">
        <w:trPr>
          <w:trHeight w:val="681"/>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Kumulované snížení hodnoty</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lang w:val="en-US"/>
              </w:rPr>
              <w:t>x.xx</w:t>
            </w:r>
            <w:proofErr w:type="spellEnd"/>
            <w:r w:rsidRPr="00463E1A">
              <w:rPr>
                <w:rFonts w:ascii="Times New Roman" w:hAnsi="Times New Roman"/>
                <w:szCs w:val="22"/>
              </w:rPr>
              <w:t xml:space="preserve"> OR NTAP</w:t>
            </w:r>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NTRQ</w:t>
            </w:r>
          </w:p>
        </w:tc>
        <w:tc>
          <w:tcPr>
            <w:tcW w:w="4300" w:type="dxa"/>
            <w:tcBorders>
              <w:right w:val="nil"/>
            </w:tcBorders>
            <w:vAlign w:val="center"/>
          </w:tcPr>
          <w:p w:rsidR="006D5324" w:rsidRPr="00463E1A" w:rsidRDefault="008916B6" w:rsidP="006D5324">
            <w:pPr>
              <w:rPr>
                <w:rFonts w:ascii="Times New Roman" w:hAnsi="Times New Roman"/>
                <w:szCs w:val="22"/>
              </w:rPr>
            </w:pPr>
            <w:r w:rsidRPr="00463E1A">
              <w:rPr>
                <w:rFonts w:ascii="Times New Roman" w:hAnsi="Times New Roman"/>
                <w:szCs w:val="22"/>
              </w:rPr>
              <w:t>Atribut může být reportován s hodnotou NTRQ.</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Typ snížení hodnoty</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value</w:t>
            </w:r>
            <w:proofErr w:type="spellEnd"/>
            <w:r w:rsidRPr="00463E1A">
              <w:rPr>
                <w:rFonts w:ascii="Times New Roman" w:hAnsi="Times New Roman"/>
                <w:szCs w:val="22"/>
              </w:rPr>
              <w:t xml:space="preserve"> OR NTAP</w:t>
            </w:r>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NTRQ</w:t>
            </w:r>
          </w:p>
        </w:tc>
        <w:tc>
          <w:tcPr>
            <w:tcW w:w="4300" w:type="dxa"/>
            <w:tcBorders>
              <w:right w:val="nil"/>
            </w:tcBorders>
            <w:vAlign w:val="center"/>
          </w:tcPr>
          <w:p w:rsidR="006D5324" w:rsidRPr="00463E1A" w:rsidRDefault="008916B6" w:rsidP="006D5324">
            <w:pPr>
              <w:rPr>
                <w:rFonts w:ascii="Times New Roman" w:hAnsi="Times New Roman"/>
                <w:szCs w:val="22"/>
              </w:rPr>
            </w:pPr>
            <w:r w:rsidRPr="00463E1A">
              <w:rPr>
                <w:rFonts w:ascii="Times New Roman" w:hAnsi="Times New Roman"/>
                <w:szCs w:val="22"/>
              </w:rPr>
              <w:t>Atribut může být reportován s hodnotou NTRQ.</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Metoda posouzení snížení hodnoty</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value</w:t>
            </w:r>
            <w:proofErr w:type="spellEnd"/>
            <w:r w:rsidRPr="00463E1A">
              <w:rPr>
                <w:rFonts w:ascii="Times New Roman" w:hAnsi="Times New Roman"/>
                <w:szCs w:val="22"/>
              </w:rPr>
              <w:t xml:space="preserve"> OR NTAP</w:t>
            </w:r>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NTRQ</w:t>
            </w:r>
          </w:p>
        </w:tc>
        <w:tc>
          <w:tcPr>
            <w:tcW w:w="4300" w:type="dxa"/>
            <w:tcBorders>
              <w:right w:val="nil"/>
            </w:tcBorders>
            <w:vAlign w:val="center"/>
          </w:tcPr>
          <w:p w:rsidR="006D5324" w:rsidRPr="00463E1A" w:rsidRDefault="008916B6" w:rsidP="006D5324">
            <w:pPr>
              <w:rPr>
                <w:rFonts w:ascii="Times New Roman" w:hAnsi="Times New Roman"/>
                <w:szCs w:val="22"/>
              </w:rPr>
            </w:pPr>
            <w:r w:rsidRPr="00463E1A">
              <w:rPr>
                <w:rFonts w:ascii="Times New Roman" w:hAnsi="Times New Roman"/>
                <w:szCs w:val="22"/>
              </w:rPr>
              <w:t>Atribut může být reportován s hodnotou NTRQ.</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Zdroje zatížení</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NTRQ</w:t>
            </w:r>
          </w:p>
        </w:tc>
        <w:tc>
          <w:tcPr>
            <w:tcW w:w="4300" w:type="dxa"/>
            <w:tcBorders>
              <w:right w:val="nil"/>
            </w:tcBorders>
            <w:vAlign w:val="center"/>
          </w:tcPr>
          <w:p w:rsidR="006D5324" w:rsidRPr="00463E1A" w:rsidRDefault="008916B6" w:rsidP="006D5324">
            <w:pPr>
              <w:rPr>
                <w:rFonts w:ascii="Times New Roman" w:hAnsi="Times New Roman"/>
                <w:szCs w:val="22"/>
              </w:rPr>
            </w:pPr>
            <w:r w:rsidRPr="00463E1A">
              <w:rPr>
                <w:rFonts w:ascii="Times New Roman" w:hAnsi="Times New Roman"/>
                <w:szCs w:val="22"/>
              </w:rPr>
              <w:t>Atribut může být reportován s hodnotou NTRQ.</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 xml:space="preserve">Kumulované změny reálné hodnoty </w:t>
            </w:r>
            <w:r w:rsidRPr="00463E1A">
              <w:rPr>
                <w:rFonts w:ascii="Times New Roman" w:hAnsi="Times New Roman"/>
                <w:b/>
                <w:color w:val="365F91" w:themeColor="accent1" w:themeShade="BF"/>
                <w:szCs w:val="22"/>
              </w:rPr>
              <w:lastRenderedPageBreak/>
              <w:t>v důsledku změny úvěrového rizika</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lastRenderedPageBreak/>
              <w:t>x.xx</w:t>
            </w:r>
            <w:proofErr w:type="spellEnd"/>
            <w:r w:rsidRPr="00463E1A">
              <w:rPr>
                <w:rFonts w:ascii="Times New Roman" w:hAnsi="Times New Roman"/>
                <w:szCs w:val="22"/>
              </w:rPr>
              <w:t xml:space="preserve"> OR NTAP</w:t>
            </w:r>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NTRQ</w:t>
            </w:r>
          </w:p>
        </w:tc>
        <w:tc>
          <w:tcPr>
            <w:tcW w:w="4300" w:type="dxa"/>
            <w:tcBorders>
              <w:right w:val="nil"/>
            </w:tcBorders>
            <w:vAlign w:val="center"/>
          </w:tcPr>
          <w:p w:rsidR="006D5324" w:rsidRPr="00463E1A" w:rsidRDefault="008916B6" w:rsidP="006D5324">
            <w:pPr>
              <w:rPr>
                <w:rFonts w:ascii="Times New Roman" w:hAnsi="Times New Roman"/>
                <w:szCs w:val="22"/>
              </w:rPr>
            </w:pPr>
            <w:r w:rsidRPr="00463E1A">
              <w:rPr>
                <w:rFonts w:ascii="Times New Roman" w:hAnsi="Times New Roman"/>
                <w:szCs w:val="22"/>
              </w:rPr>
              <w:t>Atribut může být reportován s hodnotou NTRQ.</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lastRenderedPageBreak/>
              <w:t>Stav výkonnosti instrumentu</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NTRQ</w:t>
            </w:r>
          </w:p>
        </w:tc>
        <w:tc>
          <w:tcPr>
            <w:tcW w:w="4300" w:type="dxa"/>
            <w:tcBorders>
              <w:right w:val="nil"/>
            </w:tcBorders>
            <w:vAlign w:val="center"/>
          </w:tcPr>
          <w:p w:rsidR="006D5324" w:rsidRPr="00463E1A" w:rsidRDefault="008916B6" w:rsidP="006D5324">
            <w:pPr>
              <w:rPr>
                <w:rFonts w:ascii="Times New Roman" w:hAnsi="Times New Roman"/>
                <w:szCs w:val="22"/>
              </w:rPr>
            </w:pPr>
            <w:r w:rsidRPr="00463E1A">
              <w:rPr>
                <w:rFonts w:ascii="Times New Roman" w:hAnsi="Times New Roman"/>
                <w:szCs w:val="22"/>
              </w:rPr>
              <w:t>Atribut může být reportován s hodnotou NTRQ.</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Datum stavu výkonnosti instrumentu</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dd.mm.yyyy</w:t>
            </w:r>
            <w:proofErr w:type="spellEnd"/>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NTRQ</w:t>
            </w:r>
          </w:p>
        </w:tc>
        <w:tc>
          <w:tcPr>
            <w:tcW w:w="4300" w:type="dxa"/>
            <w:tcBorders>
              <w:right w:val="nil"/>
            </w:tcBorders>
            <w:vAlign w:val="center"/>
          </w:tcPr>
          <w:p w:rsidR="006D5324" w:rsidRPr="00463E1A" w:rsidRDefault="008916B6" w:rsidP="006D5324">
            <w:pPr>
              <w:rPr>
                <w:rFonts w:ascii="Times New Roman" w:hAnsi="Times New Roman"/>
                <w:szCs w:val="22"/>
              </w:rPr>
            </w:pPr>
            <w:r w:rsidRPr="00463E1A">
              <w:rPr>
                <w:rFonts w:ascii="Times New Roman" w:hAnsi="Times New Roman"/>
                <w:szCs w:val="22"/>
              </w:rPr>
              <w:t>Atribut může být reportován s hodnotou NTRQ.</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Rezervy spojené s podrozvahovými položkami</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x.xx</w:t>
            </w:r>
            <w:proofErr w:type="spellEnd"/>
            <w:r w:rsidRPr="00463E1A">
              <w:rPr>
                <w:rFonts w:ascii="Times New Roman" w:hAnsi="Times New Roman"/>
                <w:szCs w:val="22"/>
              </w:rPr>
              <w:t xml:space="preserve"> OR NTAP</w:t>
            </w:r>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NTRQ</w:t>
            </w:r>
          </w:p>
        </w:tc>
        <w:tc>
          <w:tcPr>
            <w:tcW w:w="4300" w:type="dxa"/>
            <w:tcBorders>
              <w:right w:val="nil"/>
            </w:tcBorders>
            <w:vAlign w:val="center"/>
          </w:tcPr>
          <w:p w:rsidR="006D5324" w:rsidRPr="00463E1A" w:rsidRDefault="008916B6" w:rsidP="006D5324">
            <w:pPr>
              <w:rPr>
                <w:rFonts w:ascii="Times New Roman" w:hAnsi="Times New Roman"/>
                <w:szCs w:val="22"/>
              </w:rPr>
            </w:pPr>
            <w:r w:rsidRPr="00463E1A">
              <w:rPr>
                <w:rFonts w:ascii="Times New Roman" w:hAnsi="Times New Roman"/>
                <w:szCs w:val="22"/>
              </w:rPr>
              <w:t>Atribut může být reportován s hodnotou NTRQ.</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Stav úlev a opětovných sjednání</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NTRQ</w:t>
            </w:r>
          </w:p>
        </w:tc>
        <w:tc>
          <w:tcPr>
            <w:tcW w:w="4300" w:type="dxa"/>
            <w:tcBorders>
              <w:right w:val="nil"/>
            </w:tcBorders>
            <w:vAlign w:val="center"/>
          </w:tcPr>
          <w:p w:rsidR="006D5324" w:rsidRPr="00463E1A" w:rsidRDefault="008916B6" w:rsidP="006D5324">
            <w:pPr>
              <w:rPr>
                <w:rFonts w:ascii="Times New Roman" w:hAnsi="Times New Roman"/>
                <w:szCs w:val="22"/>
              </w:rPr>
            </w:pPr>
            <w:r w:rsidRPr="00463E1A">
              <w:rPr>
                <w:rFonts w:ascii="Times New Roman" w:hAnsi="Times New Roman"/>
                <w:szCs w:val="22"/>
              </w:rPr>
              <w:t>Atribut může být reportován s hodnotou NTRQ.</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Datum stavu úlev a opětovných sjednání</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dd.mm.yyyy</w:t>
            </w:r>
            <w:proofErr w:type="spellEnd"/>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NTRQ</w:t>
            </w:r>
          </w:p>
        </w:tc>
        <w:tc>
          <w:tcPr>
            <w:tcW w:w="4300" w:type="dxa"/>
            <w:tcBorders>
              <w:right w:val="nil"/>
            </w:tcBorders>
            <w:vAlign w:val="center"/>
          </w:tcPr>
          <w:p w:rsidR="006D5324" w:rsidRPr="00463E1A" w:rsidRDefault="008916B6" w:rsidP="006D5324">
            <w:pPr>
              <w:rPr>
                <w:rFonts w:ascii="Times New Roman" w:hAnsi="Times New Roman"/>
                <w:szCs w:val="22"/>
              </w:rPr>
            </w:pPr>
            <w:r w:rsidRPr="00463E1A">
              <w:rPr>
                <w:rFonts w:ascii="Times New Roman" w:hAnsi="Times New Roman"/>
                <w:szCs w:val="22"/>
              </w:rPr>
              <w:t>Atribut může být reportován s hodnotou NTRQ.</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Kumulované úhrady od selhání</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x.xx</w:t>
            </w:r>
            <w:proofErr w:type="spellEnd"/>
            <w:r w:rsidRPr="00463E1A">
              <w:rPr>
                <w:rFonts w:ascii="Times New Roman" w:hAnsi="Times New Roman"/>
                <w:szCs w:val="22"/>
              </w:rPr>
              <w:t xml:space="preserve"> OR NTAP</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x.xx</w:t>
            </w:r>
            <w:proofErr w:type="spellEnd"/>
          </w:p>
        </w:tc>
        <w:tc>
          <w:tcPr>
            <w:tcW w:w="4300" w:type="dxa"/>
            <w:tcBorders>
              <w:right w:val="nil"/>
            </w:tcBorders>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Atribut nabývá nezáporné hodnoty v období (T).</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Obezřetnostní portfolio</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value</w:t>
            </w:r>
            <w:proofErr w:type="spellEnd"/>
            <w:r w:rsidRPr="00463E1A">
              <w:rPr>
                <w:rFonts w:ascii="Times New Roman" w:hAnsi="Times New Roman"/>
                <w:szCs w:val="22"/>
              </w:rPr>
              <w:t xml:space="preserve"> OR NTAP</w:t>
            </w:r>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NTRQ</w:t>
            </w:r>
          </w:p>
        </w:tc>
        <w:tc>
          <w:tcPr>
            <w:tcW w:w="4300" w:type="dxa"/>
            <w:tcBorders>
              <w:right w:val="nil"/>
            </w:tcBorders>
            <w:vAlign w:val="center"/>
          </w:tcPr>
          <w:p w:rsidR="006D5324" w:rsidRPr="00463E1A" w:rsidRDefault="008916B6" w:rsidP="006D5324">
            <w:pPr>
              <w:rPr>
                <w:rFonts w:ascii="Times New Roman" w:hAnsi="Times New Roman"/>
                <w:szCs w:val="22"/>
              </w:rPr>
            </w:pPr>
            <w:r w:rsidRPr="00463E1A">
              <w:rPr>
                <w:rFonts w:ascii="Times New Roman" w:hAnsi="Times New Roman"/>
                <w:szCs w:val="22"/>
              </w:rPr>
              <w:t>Atribut může být reportován s hodnotou NTRQ.</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Účetní hodnota</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x.xx</w:t>
            </w:r>
            <w:proofErr w:type="spellEnd"/>
            <w:r w:rsidRPr="00463E1A">
              <w:rPr>
                <w:rFonts w:ascii="Times New Roman" w:hAnsi="Times New Roman"/>
                <w:szCs w:val="22"/>
              </w:rPr>
              <w:t xml:space="preserve"> OR NTAP</w:t>
            </w:r>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NTRQ</w:t>
            </w:r>
          </w:p>
        </w:tc>
        <w:tc>
          <w:tcPr>
            <w:tcW w:w="4300" w:type="dxa"/>
            <w:tcBorders>
              <w:right w:val="nil"/>
            </w:tcBorders>
            <w:vAlign w:val="center"/>
          </w:tcPr>
          <w:p w:rsidR="006D5324" w:rsidRPr="00463E1A" w:rsidRDefault="008916B6" w:rsidP="006D5324">
            <w:pPr>
              <w:rPr>
                <w:rFonts w:ascii="Times New Roman" w:hAnsi="Times New Roman"/>
                <w:szCs w:val="22"/>
              </w:rPr>
            </w:pPr>
            <w:r w:rsidRPr="00463E1A">
              <w:rPr>
                <w:rFonts w:ascii="Times New Roman" w:hAnsi="Times New Roman"/>
                <w:szCs w:val="22"/>
              </w:rPr>
              <w:t>Atribut může být reportován s hodnotou NTRQ.</w:t>
            </w:r>
          </w:p>
        </w:tc>
      </w:tr>
      <w:tr w:rsidR="006D5324" w:rsidRPr="00463E1A" w:rsidTr="006D5324">
        <w:trPr>
          <w:trHeight w:val="283"/>
        </w:trPr>
        <w:tc>
          <w:tcPr>
            <w:tcW w:w="2185" w:type="dxa"/>
            <w:tcBorders>
              <w:left w:val="nil"/>
              <w:bottom w:val="single" w:sz="4" w:space="0" w:color="auto"/>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Příznak řádku</w:t>
            </w:r>
          </w:p>
        </w:tc>
        <w:tc>
          <w:tcPr>
            <w:tcW w:w="1486" w:type="dxa"/>
            <w:tcBorders>
              <w:bottom w:val="single" w:sz="4" w:space="0" w:color="auto"/>
            </w:tcBorders>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Standardní řádek</w:t>
            </w:r>
          </w:p>
        </w:tc>
        <w:tc>
          <w:tcPr>
            <w:tcW w:w="1486" w:type="dxa"/>
            <w:tcBorders>
              <w:bottom w:val="single" w:sz="4" w:space="0" w:color="auto"/>
            </w:tcBorders>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Standardní řádek</w:t>
            </w:r>
          </w:p>
        </w:tc>
        <w:tc>
          <w:tcPr>
            <w:tcW w:w="4300" w:type="dxa"/>
            <w:tcBorders>
              <w:bottom w:val="single" w:sz="4" w:space="0" w:color="auto"/>
              <w:right w:val="nil"/>
            </w:tcBorders>
            <w:vAlign w:val="center"/>
          </w:tcPr>
          <w:p w:rsidR="006D5324" w:rsidRPr="00463E1A" w:rsidRDefault="006D5324" w:rsidP="006D5324">
            <w:pPr>
              <w:jc w:val="both"/>
              <w:rPr>
                <w:rFonts w:ascii="Times New Roman" w:hAnsi="Times New Roman"/>
                <w:szCs w:val="22"/>
              </w:rPr>
            </w:pPr>
            <w:r w:rsidRPr="00463E1A">
              <w:rPr>
                <w:rFonts w:ascii="Times New Roman" w:hAnsi="Times New Roman"/>
                <w:szCs w:val="22"/>
              </w:rPr>
              <w:t>Procesní atribut, který slouží ke konsolidaci dat v databázi ČNB. Hodnota tohoto atributu není podmíněna stavem instrumentu, v tomto případě jeho ukončením.</w:t>
            </w:r>
          </w:p>
        </w:tc>
      </w:tr>
      <w:tr w:rsidR="001C048C" w:rsidRPr="00463E1A" w:rsidTr="006D5324">
        <w:trPr>
          <w:trHeight w:val="283"/>
        </w:trPr>
        <w:tc>
          <w:tcPr>
            <w:tcW w:w="9457" w:type="dxa"/>
            <w:gridSpan w:val="4"/>
            <w:tcBorders>
              <w:left w:val="nil"/>
              <w:right w:val="nil"/>
            </w:tcBorders>
            <w:vAlign w:val="center"/>
          </w:tcPr>
          <w:p w:rsidR="001C048C" w:rsidRPr="00463E1A" w:rsidRDefault="001C048C" w:rsidP="00EA4D0C">
            <w:pPr>
              <w:jc w:val="left"/>
              <w:rPr>
                <w:rFonts w:ascii="Times New Roman" w:hAnsi="Times New Roman"/>
                <w:i/>
                <w:color w:val="365F91" w:themeColor="accent1" w:themeShade="BF"/>
                <w:szCs w:val="22"/>
              </w:rPr>
            </w:pPr>
            <w:r w:rsidRPr="00463E1A">
              <w:rPr>
                <w:rFonts w:ascii="Times New Roman" w:hAnsi="Times New Roman"/>
                <w:i/>
                <w:szCs w:val="22"/>
              </w:rPr>
              <w:t>Odepsané pohledávky negenerují žádné kreditní riziko, není k nim vázáno žádné zajištění. Zajištění vázané v (T-1) k neodepsané pohledávce bylo před odpisem realizováno. Výkaz</w:t>
            </w:r>
            <w:r w:rsidR="00EA4D0C" w:rsidRPr="00463E1A">
              <w:rPr>
                <w:rFonts w:ascii="Times New Roman" w:hAnsi="Times New Roman"/>
                <w:i/>
                <w:szCs w:val="22"/>
              </w:rPr>
              <w:t xml:space="preserve">y </w:t>
            </w:r>
            <w:r w:rsidRPr="00463E1A">
              <w:rPr>
                <w:rFonts w:ascii="Times New Roman" w:hAnsi="Times New Roman"/>
                <w:i/>
                <w:szCs w:val="22"/>
              </w:rPr>
              <w:t xml:space="preserve"> PANACR07 </w:t>
            </w:r>
            <w:r w:rsidR="00EA4D0C" w:rsidRPr="00463E1A">
              <w:rPr>
                <w:rFonts w:ascii="Times New Roman" w:hAnsi="Times New Roman"/>
                <w:i/>
                <w:szCs w:val="22"/>
              </w:rPr>
              <w:t xml:space="preserve">a PANACR08 </w:t>
            </w:r>
            <w:r w:rsidRPr="00463E1A">
              <w:rPr>
                <w:rFonts w:ascii="Times New Roman" w:hAnsi="Times New Roman"/>
                <w:i/>
                <w:szCs w:val="22"/>
              </w:rPr>
              <w:t xml:space="preserve">se pro odepsané pohledávky </w:t>
            </w:r>
            <w:r w:rsidR="00EA4D0C" w:rsidRPr="00463E1A">
              <w:rPr>
                <w:rFonts w:ascii="Times New Roman" w:hAnsi="Times New Roman"/>
                <w:i/>
                <w:szCs w:val="22"/>
              </w:rPr>
              <w:t>neplní</w:t>
            </w:r>
            <w:r w:rsidRPr="00463E1A">
              <w:rPr>
                <w:rFonts w:ascii="Times New Roman" w:hAnsi="Times New Roman"/>
                <w:i/>
                <w:szCs w:val="22"/>
              </w:rPr>
              <w:t>.</w:t>
            </w:r>
          </w:p>
        </w:tc>
      </w:tr>
      <w:tr w:rsidR="006D5324" w:rsidRPr="00463E1A" w:rsidTr="006D5324">
        <w:trPr>
          <w:trHeight w:val="283"/>
        </w:trPr>
        <w:tc>
          <w:tcPr>
            <w:tcW w:w="9457" w:type="dxa"/>
            <w:gridSpan w:val="4"/>
            <w:tcBorders>
              <w:left w:val="nil"/>
              <w:bottom w:val="single" w:sz="4" w:space="0" w:color="auto"/>
              <w:right w:val="nil"/>
            </w:tcBorders>
            <w:vAlign w:val="center"/>
          </w:tcPr>
          <w:p w:rsidR="006D5324" w:rsidRPr="00463E1A" w:rsidRDefault="00896632" w:rsidP="00896632">
            <w:pPr>
              <w:spacing w:before="240" w:after="120"/>
              <w:jc w:val="both"/>
              <w:rPr>
                <w:rFonts w:ascii="Times New Roman" w:hAnsi="Times New Roman"/>
                <w:i/>
                <w:szCs w:val="22"/>
              </w:rPr>
            </w:pPr>
            <w:r w:rsidRPr="00463E1A">
              <w:rPr>
                <w:rFonts w:ascii="Times New Roman" w:hAnsi="Times New Roman"/>
                <w:i/>
                <w:szCs w:val="22"/>
              </w:rPr>
              <w:t>Výkazy PANACR09  PANACR10 se z titulu odepsaných pohledávek neplní, odepsané pohledávky negenerují žádné kreditní riziko.</w:t>
            </w:r>
          </w:p>
        </w:tc>
      </w:tr>
      <w:tr w:rsidR="006D5324" w:rsidRPr="00463E1A" w:rsidTr="006D5324">
        <w:trPr>
          <w:trHeight w:val="283"/>
        </w:trPr>
        <w:tc>
          <w:tcPr>
            <w:tcW w:w="9457" w:type="dxa"/>
            <w:gridSpan w:val="4"/>
            <w:tcBorders>
              <w:left w:val="nil"/>
              <w:right w:val="nil"/>
            </w:tcBorders>
            <w:vAlign w:val="center"/>
          </w:tcPr>
          <w:p w:rsidR="006D5324" w:rsidRPr="00463E1A" w:rsidRDefault="006D5324" w:rsidP="006D5324">
            <w:pPr>
              <w:spacing w:before="120" w:after="120"/>
              <w:jc w:val="both"/>
              <w:rPr>
                <w:rFonts w:ascii="Times New Roman" w:hAnsi="Times New Roman"/>
                <w:b/>
                <w:i/>
                <w:color w:val="4F81BD" w:themeColor="accent1"/>
                <w:szCs w:val="22"/>
              </w:rPr>
            </w:pPr>
            <w:r w:rsidRPr="00463E1A">
              <w:rPr>
                <w:rFonts w:ascii="Times New Roman" w:hAnsi="Times New Roman"/>
                <w:i/>
                <w:szCs w:val="22"/>
              </w:rPr>
              <w:t>Pro odepsané instrumenty je výkaz PANACR21 reportován pouze tehdy, pokud dochází ke vzniku nového instrumentu, jehož předchůdcem je aktuálně ukončovaný odepsaný instrument. V praxi tato situace nastane zejména v případech, kdy dochází k přečíslování (pokud není řešeno systémově) kompletního nebo částečného portfolia instrumentů vykazujícího subjektu. Výkaz PANACR21 je reportován pouze v období změny, tj. v období (T), a v předchozím období (T-1) a nadcházejícím období (T+1) nejsou ve výkazu PANACR21 reportovány žádné záznamy související s danými instrumenty.</w:t>
            </w:r>
          </w:p>
        </w:tc>
      </w:tr>
      <w:tr w:rsidR="006D5324" w:rsidRPr="00463E1A" w:rsidTr="006D5324">
        <w:trPr>
          <w:trHeight w:val="283"/>
        </w:trPr>
        <w:tc>
          <w:tcPr>
            <w:tcW w:w="9457" w:type="dxa"/>
            <w:gridSpan w:val="4"/>
            <w:tcBorders>
              <w:left w:val="nil"/>
              <w:right w:val="nil"/>
            </w:tcBorders>
            <w:vAlign w:val="center"/>
          </w:tcPr>
          <w:p w:rsidR="006D5324" w:rsidRPr="00463E1A" w:rsidRDefault="006D5324" w:rsidP="006D5324">
            <w:pPr>
              <w:rPr>
                <w:rFonts w:ascii="Times New Roman" w:hAnsi="Times New Roman"/>
                <w:color w:val="365F91" w:themeColor="accent1" w:themeShade="BF"/>
                <w:szCs w:val="22"/>
              </w:rPr>
            </w:pPr>
            <w:r w:rsidRPr="00463E1A">
              <w:rPr>
                <w:rFonts w:ascii="Times New Roman" w:hAnsi="Times New Roman"/>
                <w:b/>
                <w:color w:val="365F91" w:themeColor="accent1" w:themeShade="BF"/>
                <w:szCs w:val="22"/>
                <w:lang w:val="en-GB"/>
              </w:rPr>
              <w:t>PANACR21 (Linked contract)</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Atribut</w:t>
            </w:r>
          </w:p>
        </w:tc>
        <w:tc>
          <w:tcPr>
            <w:tcW w:w="1486" w:type="dxa"/>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(T-1)</w:t>
            </w:r>
          </w:p>
        </w:tc>
        <w:tc>
          <w:tcPr>
            <w:tcW w:w="1486" w:type="dxa"/>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(T)</w:t>
            </w:r>
          </w:p>
        </w:tc>
        <w:tc>
          <w:tcPr>
            <w:tcW w:w="4300" w:type="dxa"/>
            <w:tcBorders>
              <w:righ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Poznámka</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Identifikátor sledovaného subjektu</w:t>
            </w:r>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w:t>
            </w:r>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RIAD_IDK</w:t>
            </w:r>
          </w:p>
        </w:tc>
        <w:tc>
          <w:tcPr>
            <w:tcW w:w="4300" w:type="dxa"/>
            <w:tcBorders>
              <w:right w:val="nil"/>
            </w:tcBorders>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Atribut se nemění.</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Identifikátor kontraktu</w:t>
            </w:r>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D5324" w:rsidRPr="00463E1A" w:rsidRDefault="006D5324" w:rsidP="006D5324">
            <w:pPr>
              <w:jc w:val="both"/>
              <w:rPr>
                <w:rFonts w:ascii="Times New Roman" w:hAnsi="Times New Roman"/>
                <w:szCs w:val="22"/>
              </w:rPr>
            </w:pPr>
            <w:r w:rsidRPr="00463E1A">
              <w:rPr>
                <w:rFonts w:ascii="Times New Roman" w:hAnsi="Times New Roman"/>
                <w:szCs w:val="22"/>
              </w:rPr>
              <w:t>Atribut se nemění.</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Identifikátor kontraktu - původní</w:t>
            </w:r>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D5324" w:rsidRPr="00463E1A" w:rsidRDefault="006D5324" w:rsidP="006D5324">
            <w:pPr>
              <w:jc w:val="both"/>
              <w:rPr>
                <w:rFonts w:ascii="Times New Roman" w:hAnsi="Times New Roman"/>
                <w:szCs w:val="22"/>
              </w:rPr>
            </w:pPr>
            <w:r w:rsidRPr="00463E1A">
              <w:rPr>
                <w:rFonts w:ascii="Times New Roman" w:hAnsi="Times New Roman"/>
                <w:szCs w:val="22"/>
              </w:rPr>
              <w:t>Atribut se nemění.</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Identifikátor instrumentu</w:t>
            </w:r>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D5324" w:rsidRPr="00463E1A" w:rsidRDefault="006D5324" w:rsidP="006D5324">
            <w:pPr>
              <w:jc w:val="both"/>
              <w:rPr>
                <w:rFonts w:ascii="Times New Roman" w:hAnsi="Times New Roman"/>
                <w:szCs w:val="22"/>
              </w:rPr>
            </w:pPr>
            <w:r w:rsidRPr="00463E1A">
              <w:rPr>
                <w:rFonts w:ascii="Times New Roman" w:hAnsi="Times New Roman"/>
                <w:szCs w:val="22"/>
              </w:rPr>
              <w:t>Atribut se nemění.</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Identifikátor instrumentu - původní</w:t>
            </w:r>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D5324" w:rsidRPr="00463E1A" w:rsidRDefault="006D5324" w:rsidP="006D5324">
            <w:pPr>
              <w:jc w:val="both"/>
              <w:rPr>
                <w:rFonts w:ascii="Times New Roman" w:hAnsi="Times New Roman"/>
                <w:szCs w:val="22"/>
              </w:rPr>
            </w:pPr>
            <w:r w:rsidRPr="00463E1A">
              <w:rPr>
                <w:rFonts w:ascii="Times New Roman" w:hAnsi="Times New Roman"/>
                <w:szCs w:val="22"/>
              </w:rPr>
              <w:t>Atribut se nemění.</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Typ propojení</w:t>
            </w:r>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 xml:space="preserve">Pokud je výkaz zasílán, v rámci tohoto atributu je vždy uvedena konkrétní hodnota </w:t>
            </w:r>
            <w:r w:rsidRPr="00463E1A">
              <w:rPr>
                <w:rFonts w:ascii="Times New Roman" w:hAnsi="Times New Roman"/>
                <w:szCs w:val="22"/>
              </w:rPr>
              <w:lastRenderedPageBreak/>
              <w:t>z číselníku na základě operace, která vede k zániku původního instrumentu a vzniku nového.</w:t>
            </w:r>
          </w:p>
        </w:tc>
      </w:tr>
      <w:tr w:rsidR="006D5324" w:rsidRPr="00463E1A" w:rsidTr="006D5324">
        <w:trPr>
          <w:trHeight w:val="283"/>
        </w:trPr>
        <w:tc>
          <w:tcPr>
            <w:tcW w:w="2185" w:type="dxa"/>
            <w:tcBorders>
              <w:left w:val="nil"/>
              <w:bottom w:val="single" w:sz="4" w:space="0" w:color="auto"/>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lastRenderedPageBreak/>
              <w:t>Příznak řádku</w:t>
            </w:r>
          </w:p>
        </w:tc>
        <w:tc>
          <w:tcPr>
            <w:tcW w:w="1486" w:type="dxa"/>
            <w:tcBorders>
              <w:bottom w:val="single" w:sz="4" w:space="0" w:color="auto"/>
            </w:tcBorders>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w:t>
            </w:r>
          </w:p>
        </w:tc>
        <w:tc>
          <w:tcPr>
            <w:tcW w:w="1486" w:type="dxa"/>
            <w:tcBorders>
              <w:bottom w:val="single" w:sz="4" w:space="0" w:color="auto"/>
            </w:tcBorders>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Standardní řádek</w:t>
            </w:r>
          </w:p>
        </w:tc>
        <w:tc>
          <w:tcPr>
            <w:tcW w:w="4300" w:type="dxa"/>
            <w:tcBorders>
              <w:bottom w:val="single" w:sz="4" w:space="0" w:color="auto"/>
              <w:right w:val="nil"/>
            </w:tcBorders>
            <w:vAlign w:val="center"/>
          </w:tcPr>
          <w:p w:rsidR="006D5324" w:rsidRPr="00463E1A" w:rsidRDefault="006D5324" w:rsidP="006D5324">
            <w:pPr>
              <w:jc w:val="both"/>
              <w:rPr>
                <w:rFonts w:ascii="Times New Roman" w:hAnsi="Times New Roman"/>
                <w:szCs w:val="22"/>
              </w:rPr>
            </w:pPr>
            <w:r w:rsidRPr="00463E1A">
              <w:rPr>
                <w:rFonts w:ascii="Times New Roman" w:hAnsi="Times New Roman"/>
                <w:szCs w:val="22"/>
              </w:rPr>
              <w:t>Procesní atribut, který slouží ke konsolidaci dat v databázi ČNB. Hodnota tohoto atributu není podmíněna stavem instrumentu, v tomto případě jeho ukončením.</w:t>
            </w:r>
          </w:p>
        </w:tc>
      </w:tr>
      <w:tr w:rsidR="006D5324" w:rsidRPr="00463E1A" w:rsidTr="006D5324">
        <w:trPr>
          <w:trHeight w:val="283"/>
        </w:trPr>
        <w:tc>
          <w:tcPr>
            <w:tcW w:w="9457" w:type="dxa"/>
            <w:gridSpan w:val="4"/>
            <w:tcBorders>
              <w:left w:val="nil"/>
              <w:bottom w:val="single" w:sz="4" w:space="0" w:color="auto"/>
              <w:right w:val="nil"/>
            </w:tcBorders>
            <w:vAlign w:val="center"/>
          </w:tcPr>
          <w:p w:rsidR="006D5324" w:rsidRPr="00463E1A" w:rsidRDefault="006D5324" w:rsidP="006D5324">
            <w:pPr>
              <w:spacing w:before="120" w:after="120"/>
              <w:jc w:val="both"/>
              <w:rPr>
                <w:rFonts w:ascii="Times New Roman" w:hAnsi="Times New Roman"/>
                <w:i/>
                <w:szCs w:val="22"/>
              </w:rPr>
            </w:pPr>
            <w:r w:rsidRPr="00463E1A">
              <w:rPr>
                <w:rFonts w:ascii="Times New Roman" w:hAnsi="Times New Roman"/>
                <w:i/>
                <w:szCs w:val="22"/>
              </w:rPr>
              <w:t xml:space="preserve">PANACR22 je čtvrtletní výkaz, který je dynamického charakteru, a odráží skutečnost daného instrumentu v příslušném období. V případě odepsaných instrumentů mohou všechny atributy nabývat hodnoty „Not </w:t>
            </w:r>
            <w:proofErr w:type="spellStart"/>
            <w:r w:rsidRPr="00463E1A">
              <w:rPr>
                <w:rFonts w:ascii="Times New Roman" w:hAnsi="Times New Roman"/>
                <w:i/>
                <w:szCs w:val="22"/>
              </w:rPr>
              <w:t>required</w:t>
            </w:r>
            <w:proofErr w:type="spellEnd"/>
            <w:r w:rsidRPr="00463E1A">
              <w:rPr>
                <w:rFonts w:ascii="Times New Roman" w:hAnsi="Times New Roman"/>
                <w:i/>
                <w:szCs w:val="22"/>
              </w:rPr>
              <w:t>“. Pokud je instrument odepsán v měsíci, který zároveň není čtvrtletím, potom je nutné instrument reportovat minimálně do konce daného čtvrtletí.</w:t>
            </w:r>
          </w:p>
        </w:tc>
      </w:tr>
      <w:tr w:rsidR="006D5324" w:rsidRPr="00463E1A" w:rsidTr="006D5324">
        <w:trPr>
          <w:trHeight w:val="283"/>
        </w:trPr>
        <w:tc>
          <w:tcPr>
            <w:tcW w:w="9457" w:type="dxa"/>
            <w:gridSpan w:val="4"/>
            <w:tcBorders>
              <w:left w:val="nil"/>
              <w:bottom w:val="single" w:sz="4" w:space="0" w:color="auto"/>
              <w:right w:val="nil"/>
            </w:tcBorders>
            <w:vAlign w:val="center"/>
          </w:tcPr>
          <w:p w:rsidR="006D5324" w:rsidRPr="00463E1A" w:rsidRDefault="006D5324" w:rsidP="006D5324">
            <w:pPr>
              <w:spacing w:before="240" w:after="120"/>
              <w:jc w:val="both"/>
              <w:rPr>
                <w:rFonts w:ascii="Times New Roman" w:hAnsi="Times New Roman"/>
                <w:i/>
                <w:szCs w:val="22"/>
              </w:rPr>
            </w:pPr>
            <w:r w:rsidRPr="00463E1A">
              <w:rPr>
                <w:rFonts w:ascii="Times New Roman" w:hAnsi="Times New Roman"/>
                <w:i/>
                <w:szCs w:val="22"/>
              </w:rPr>
              <w:t>V rámci PANACR23 jsou pro odepsané instrumenty reportovány aktuální informace.</w:t>
            </w:r>
          </w:p>
        </w:tc>
      </w:tr>
      <w:tr w:rsidR="006D5324" w:rsidRPr="00463E1A" w:rsidTr="006D5324">
        <w:trPr>
          <w:trHeight w:val="283"/>
        </w:trPr>
        <w:tc>
          <w:tcPr>
            <w:tcW w:w="9457" w:type="dxa"/>
            <w:gridSpan w:val="4"/>
            <w:tcBorders>
              <w:top w:val="single" w:sz="4" w:space="0" w:color="auto"/>
              <w:left w:val="nil"/>
              <w:right w:val="nil"/>
            </w:tcBorders>
            <w:vAlign w:val="center"/>
          </w:tcPr>
          <w:p w:rsidR="006D5324" w:rsidRPr="00463E1A" w:rsidRDefault="006D5324" w:rsidP="006D5324">
            <w:pPr>
              <w:rPr>
                <w:rFonts w:ascii="Times New Roman" w:hAnsi="Times New Roman"/>
                <w:color w:val="365F91" w:themeColor="accent1" w:themeShade="BF"/>
                <w:szCs w:val="22"/>
              </w:rPr>
            </w:pPr>
            <w:r w:rsidRPr="00463E1A">
              <w:rPr>
                <w:rFonts w:ascii="Times New Roman" w:hAnsi="Times New Roman"/>
                <w:b/>
                <w:color w:val="365F91" w:themeColor="accent1" w:themeShade="BF"/>
                <w:szCs w:val="22"/>
                <w:lang w:val="en-GB"/>
              </w:rPr>
              <w:t>PANACR23 (Group of connected clients)</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Atribut</w:t>
            </w:r>
          </w:p>
        </w:tc>
        <w:tc>
          <w:tcPr>
            <w:tcW w:w="1486" w:type="dxa"/>
            <w:vAlign w:val="center"/>
          </w:tcPr>
          <w:p w:rsidR="006D5324" w:rsidRPr="00463E1A" w:rsidRDefault="006D5324" w:rsidP="006D5324">
            <w:pPr>
              <w:rPr>
                <w:rFonts w:ascii="Times New Roman" w:hAnsi="Times New Roman"/>
                <w:b/>
                <w:color w:val="4F81BD" w:themeColor="accent1"/>
                <w:szCs w:val="22"/>
              </w:rPr>
            </w:pPr>
            <w:r w:rsidRPr="00463E1A">
              <w:rPr>
                <w:rFonts w:ascii="Times New Roman" w:hAnsi="Times New Roman"/>
                <w:b/>
                <w:color w:val="4F81BD" w:themeColor="accent1"/>
                <w:szCs w:val="22"/>
              </w:rPr>
              <w:t>(T-1)</w:t>
            </w:r>
          </w:p>
        </w:tc>
        <w:tc>
          <w:tcPr>
            <w:tcW w:w="1486" w:type="dxa"/>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(T)</w:t>
            </w:r>
          </w:p>
        </w:tc>
        <w:tc>
          <w:tcPr>
            <w:tcW w:w="4300" w:type="dxa"/>
            <w:tcBorders>
              <w:righ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Poznámka</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Identifikátor sledovaného subjektu</w:t>
            </w:r>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RIAD_IDK</w:t>
            </w:r>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RIAD_IDK</w:t>
            </w:r>
          </w:p>
        </w:tc>
        <w:tc>
          <w:tcPr>
            <w:tcW w:w="4300" w:type="dxa"/>
            <w:tcBorders>
              <w:right w:val="nil"/>
            </w:tcBorders>
            <w:vAlign w:val="center"/>
          </w:tcPr>
          <w:p w:rsidR="006D5324" w:rsidRPr="00463E1A" w:rsidRDefault="006D5324" w:rsidP="006D5324">
            <w:pPr>
              <w:jc w:val="both"/>
              <w:rPr>
                <w:rFonts w:ascii="Times New Roman" w:hAnsi="Times New Roman"/>
                <w:szCs w:val="22"/>
              </w:rPr>
            </w:pPr>
            <w:r w:rsidRPr="00463E1A">
              <w:rPr>
                <w:rFonts w:ascii="Times New Roman" w:hAnsi="Times New Roman"/>
                <w:szCs w:val="22"/>
              </w:rPr>
              <w:t>Atribut se nemění.</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Identifikátor protistrany</w:t>
            </w:r>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RIAD_IDK</w:t>
            </w:r>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RIAD_IDK</w:t>
            </w:r>
          </w:p>
        </w:tc>
        <w:tc>
          <w:tcPr>
            <w:tcW w:w="4300" w:type="dxa"/>
            <w:tcBorders>
              <w:right w:val="nil"/>
            </w:tcBorders>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Atribut se nemění.</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Identifikátor skupiny ekonomicky spjatých klientů</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D5324" w:rsidRPr="00463E1A" w:rsidRDefault="006D5324" w:rsidP="006D5324">
            <w:pPr>
              <w:jc w:val="both"/>
              <w:rPr>
                <w:rFonts w:ascii="Times New Roman" w:hAnsi="Times New Roman"/>
                <w:szCs w:val="22"/>
              </w:rPr>
            </w:pPr>
            <w:r w:rsidRPr="00463E1A">
              <w:rPr>
                <w:rFonts w:ascii="Times New Roman" w:hAnsi="Times New Roman"/>
                <w:szCs w:val="22"/>
              </w:rPr>
              <w:t>Pro odepsané instrumenty je reportována aktuální informace. Atribut bude pravděpodobně konzistentní napříč referenčními obdobími.</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Název skupiny ekonomicky spjatých klientů</w:t>
            </w:r>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D5324" w:rsidRPr="00463E1A" w:rsidRDefault="006D5324" w:rsidP="006D5324">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D5324" w:rsidRPr="00463E1A" w:rsidRDefault="006D5324" w:rsidP="006D5324">
            <w:pPr>
              <w:jc w:val="both"/>
              <w:rPr>
                <w:rFonts w:ascii="Times New Roman" w:hAnsi="Times New Roman"/>
                <w:szCs w:val="22"/>
              </w:rPr>
            </w:pPr>
            <w:r w:rsidRPr="00463E1A">
              <w:rPr>
                <w:rFonts w:ascii="Times New Roman" w:hAnsi="Times New Roman"/>
                <w:szCs w:val="22"/>
              </w:rPr>
              <w:t>Pro odepsané instrumenty je reportována aktuální informace. Atribut bude pravděpodobně konzistentní napříč referenčními obdobími.</w:t>
            </w:r>
          </w:p>
        </w:tc>
      </w:tr>
      <w:tr w:rsidR="006D5324" w:rsidRPr="00463E1A" w:rsidTr="006D5324">
        <w:trPr>
          <w:trHeight w:val="283"/>
        </w:trPr>
        <w:tc>
          <w:tcPr>
            <w:tcW w:w="2185" w:type="dxa"/>
            <w:tcBorders>
              <w:left w:val="nil"/>
            </w:tcBorders>
            <w:vAlign w:val="center"/>
          </w:tcPr>
          <w:p w:rsidR="006D5324" w:rsidRPr="00463E1A" w:rsidRDefault="006D5324" w:rsidP="006D5324">
            <w:pPr>
              <w:rPr>
                <w:rFonts w:ascii="Times New Roman" w:hAnsi="Times New Roman"/>
                <w:b/>
                <w:color w:val="365F91" w:themeColor="accent1" w:themeShade="BF"/>
                <w:szCs w:val="22"/>
              </w:rPr>
            </w:pPr>
            <w:r w:rsidRPr="00463E1A">
              <w:rPr>
                <w:rFonts w:ascii="Times New Roman" w:hAnsi="Times New Roman"/>
                <w:b/>
                <w:color w:val="365F91" w:themeColor="accent1" w:themeShade="BF"/>
                <w:szCs w:val="22"/>
              </w:rPr>
              <w:t>Příznak řádku</w:t>
            </w:r>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Standardní řádek</w:t>
            </w:r>
          </w:p>
        </w:tc>
        <w:tc>
          <w:tcPr>
            <w:tcW w:w="1486" w:type="dxa"/>
            <w:vAlign w:val="center"/>
          </w:tcPr>
          <w:p w:rsidR="006D5324" w:rsidRPr="00463E1A" w:rsidRDefault="006D5324" w:rsidP="006D5324">
            <w:pPr>
              <w:rPr>
                <w:rFonts w:ascii="Times New Roman" w:hAnsi="Times New Roman"/>
                <w:szCs w:val="22"/>
              </w:rPr>
            </w:pPr>
            <w:r w:rsidRPr="00463E1A">
              <w:rPr>
                <w:rFonts w:ascii="Times New Roman" w:hAnsi="Times New Roman"/>
                <w:szCs w:val="22"/>
              </w:rPr>
              <w:t>Standardní řádek</w:t>
            </w:r>
          </w:p>
        </w:tc>
        <w:tc>
          <w:tcPr>
            <w:tcW w:w="4300" w:type="dxa"/>
            <w:tcBorders>
              <w:right w:val="nil"/>
            </w:tcBorders>
            <w:vAlign w:val="center"/>
          </w:tcPr>
          <w:p w:rsidR="006D5324" w:rsidRPr="00463E1A" w:rsidRDefault="006D5324" w:rsidP="006D5324">
            <w:pPr>
              <w:jc w:val="both"/>
              <w:rPr>
                <w:rFonts w:ascii="Times New Roman" w:hAnsi="Times New Roman"/>
                <w:szCs w:val="22"/>
              </w:rPr>
            </w:pPr>
            <w:r w:rsidRPr="00463E1A">
              <w:rPr>
                <w:rFonts w:ascii="Times New Roman" w:hAnsi="Times New Roman"/>
                <w:szCs w:val="22"/>
              </w:rPr>
              <w:t>Procesní atribut, který slouží ke konsolidaci dat v databázi ČNB. Hodnota tohoto atributu není podmíněna stavem instrumentu, v tomto případě jeho ukončením.</w:t>
            </w:r>
          </w:p>
        </w:tc>
      </w:tr>
    </w:tbl>
    <w:p w:rsidR="006663ED" w:rsidRPr="00463E1A" w:rsidRDefault="006663ED" w:rsidP="006663ED">
      <w:pPr>
        <w:pStyle w:val="Nadpis1"/>
        <w:numPr>
          <w:ilvl w:val="0"/>
          <w:numId w:val="0"/>
        </w:numPr>
        <w:ind w:left="360"/>
        <w:rPr>
          <w:rFonts w:ascii="Times New Roman" w:hAnsi="Times New Roman"/>
          <w:sz w:val="22"/>
          <w:szCs w:val="22"/>
        </w:rPr>
      </w:pPr>
    </w:p>
    <w:p w:rsidR="006663ED" w:rsidRPr="00463E1A" w:rsidRDefault="006663ED" w:rsidP="006663ED">
      <w:pPr>
        <w:rPr>
          <w:szCs w:val="22"/>
        </w:rPr>
      </w:pPr>
    </w:p>
    <w:p w:rsidR="006D5324" w:rsidRPr="00463E1A" w:rsidRDefault="00FD1152" w:rsidP="00FD1152">
      <w:pPr>
        <w:pStyle w:val="Heading1"/>
        <w:rPr>
          <w:rFonts w:ascii="Times New Roman" w:hAnsi="Times New Roman"/>
        </w:rPr>
      </w:pPr>
      <w:r w:rsidRPr="00463E1A">
        <w:rPr>
          <w:rFonts w:ascii="Times New Roman" w:hAnsi="Times New Roman"/>
        </w:rPr>
        <w:br w:type="column"/>
      </w:r>
      <w:bookmarkStart w:id="36" w:name="_Toc270686"/>
      <w:bookmarkStart w:id="37" w:name="_Toc769534"/>
      <w:r w:rsidR="006663ED" w:rsidRPr="00463E1A">
        <w:rPr>
          <w:rFonts w:ascii="Times New Roman" w:hAnsi="Times New Roman"/>
        </w:rPr>
        <w:lastRenderedPageBreak/>
        <w:t>vykazování ukončených instrumentů</w:t>
      </w:r>
      <w:bookmarkEnd w:id="36"/>
      <w:bookmarkEnd w:id="37"/>
    </w:p>
    <w:p w:rsidR="000E00EF" w:rsidRPr="00463E1A" w:rsidRDefault="000E00EF" w:rsidP="00FD1152">
      <w:pPr>
        <w:pStyle w:val="Nadpis1"/>
        <w:numPr>
          <w:ilvl w:val="0"/>
          <w:numId w:val="0"/>
        </w:numPr>
        <w:ind w:left="360"/>
        <w:rPr>
          <w:rFonts w:ascii="Times New Roman" w:hAnsi="Times New Roman"/>
          <w:sz w:val="22"/>
          <w:szCs w:val="22"/>
        </w:rPr>
      </w:pPr>
    </w:p>
    <w:p w:rsidR="006663ED" w:rsidRPr="00463E1A" w:rsidRDefault="006663ED" w:rsidP="006663ED">
      <w:pPr>
        <w:spacing w:after="120"/>
        <w:jc w:val="both"/>
        <w:rPr>
          <w:szCs w:val="22"/>
        </w:rPr>
      </w:pPr>
      <w:r w:rsidRPr="00463E1A">
        <w:rPr>
          <w:szCs w:val="22"/>
        </w:rPr>
        <w:t>Cílem tohoto manuálu je poskytnout vykazujícím subjektům návod, jak vykazovat ukončené instrumenty v AnaCredit. Hlavním důvodem pro reporting takovýchto instrumentů je budoucí nahrazení sběrné vrstvy CRÚ, které je koncipováno tak, aby vykazující subjekt vždy explicitně potvrdil ukončení příslušného instrumentu.</w:t>
      </w:r>
    </w:p>
    <w:p w:rsidR="006663ED" w:rsidRPr="00463E1A" w:rsidRDefault="006663ED" w:rsidP="006663ED">
      <w:pPr>
        <w:spacing w:after="120"/>
        <w:jc w:val="both"/>
        <w:rPr>
          <w:szCs w:val="22"/>
        </w:rPr>
      </w:pPr>
      <w:r w:rsidRPr="00463E1A">
        <w:rPr>
          <w:szCs w:val="22"/>
        </w:rPr>
        <w:t>Ukončenými instrumenty se myslí takové instrumenty, které byly v průběhu daného období zcela prodány nebo zcela splaceny. Pro účely tohoto manuálu nejsou do kategorie ukončených instrumentů zařazeny např. (zcela či částečně) odepsané instrumenty nebo částečně splacené a částečně prodané instrumenty. Atributem, na základě kterého je možné rozlišit ukončené instrumenty, je „Stav instrumentu“ (Instrument status), přičemž pro tento manuál není směrodatné, zda byl instrument prodán či splacen, protože postup je v podstatě totožný. Právě tento atribut vstupuje do různých kontrol, které ověřují správné vykazování instrumentů. Z pohledu AnaCredit je instrument považován za ukončený v případě, že atribut „Stav instrumentu“ nabývá některé z následujících hodnot:</w:t>
      </w:r>
    </w:p>
    <w:p w:rsidR="006663ED" w:rsidRPr="00463E1A" w:rsidRDefault="006663ED" w:rsidP="000E00EF">
      <w:pPr>
        <w:pStyle w:val="ListParagraph"/>
        <w:numPr>
          <w:ilvl w:val="0"/>
          <w:numId w:val="24"/>
        </w:numPr>
        <w:jc w:val="both"/>
        <w:rPr>
          <w:szCs w:val="22"/>
        </w:rPr>
      </w:pPr>
      <w:r w:rsidRPr="00463E1A">
        <w:rPr>
          <w:szCs w:val="22"/>
        </w:rPr>
        <w:t>21</w:t>
      </w:r>
      <w:r w:rsidRPr="00463E1A">
        <w:rPr>
          <w:szCs w:val="22"/>
        </w:rPr>
        <w:tab/>
        <w:t>Pohledávka ukončená bez čerpání</w:t>
      </w:r>
    </w:p>
    <w:p w:rsidR="006663ED" w:rsidRPr="00463E1A" w:rsidRDefault="006663ED" w:rsidP="000E00EF">
      <w:pPr>
        <w:pStyle w:val="ListParagraph"/>
        <w:numPr>
          <w:ilvl w:val="0"/>
          <w:numId w:val="24"/>
        </w:numPr>
        <w:jc w:val="both"/>
        <w:rPr>
          <w:szCs w:val="22"/>
        </w:rPr>
      </w:pPr>
      <w:r w:rsidRPr="00463E1A">
        <w:rPr>
          <w:szCs w:val="22"/>
        </w:rPr>
        <w:t>22</w:t>
      </w:r>
      <w:r w:rsidRPr="00463E1A">
        <w:rPr>
          <w:szCs w:val="22"/>
        </w:rPr>
        <w:tab/>
        <w:t>Vyrovnaná pohledávka v rámci banky</w:t>
      </w:r>
    </w:p>
    <w:p w:rsidR="006663ED" w:rsidRPr="00463E1A" w:rsidRDefault="006663ED" w:rsidP="000E00EF">
      <w:pPr>
        <w:pStyle w:val="ListParagraph"/>
        <w:numPr>
          <w:ilvl w:val="0"/>
          <w:numId w:val="24"/>
        </w:numPr>
        <w:jc w:val="both"/>
        <w:rPr>
          <w:szCs w:val="22"/>
        </w:rPr>
      </w:pPr>
      <w:r w:rsidRPr="00463E1A">
        <w:rPr>
          <w:szCs w:val="22"/>
        </w:rPr>
        <w:t>23</w:t>
      </w:r>
      <w:r w:rsidRPr="00463E1A">
        <w:rPr>
          <w:szCs w:val="22"/>
        </w:rPr>
        <w:tab/>
        <w:t>Vyrovnaná pohledávka převodem k jiné bance</w:t>
      </w:r>
    </w:p>
    <w:p w:rsidR="006663ED" w:rsidRPr="00463E1A" w:rsidRDefault="006663ED" w:rsidP="000E00EF">
      <w:pPr>
        <w:pStyle w:val="ListParagraph"/>
        <w:numPr>
          <w:ilvl w:val="0"/>
          <w:numId w:val="24"/>
        </w:numPr>
        <w:jc w:val="both"/>
        <w:rPr>
          <w:szCs w:val="22"/>
        </w:rPr>
      </w:pPr>
      <w:r w:rsidRPr="00463E1A">
        <w:rPr>
          <w:szCs w:val="22"/>
        </w:rPr>
        <w:t>24</w:t>
      </w:r>
      <w:r w:rsidRPr="00463E1A">
        <w:rPr>
          <w:szCs w:val="22"/>
        </w:rPr>
        <w:tab/>
        <w:t>Vyrovnaná pohledávka převodem mimo bankovní sektor</w:t>
      </w:r>
    </w:p>
    <w:p w:rsidR="006663ED" w:rsidRPr="00463E1A" w:rsidRDefault="006663ED" w:rsidP="006663ED">
      <w:pPr>
        <w:spacing w:before="120" w:after="120"/>
        <w:jc w:val="both"/>
        <w:rPr>
          <w:szCs w:val="22"/>
        </w:rPr>
      </w:pPr>
      <w:r w:rsidRPr="00463E1A">
        <w:rPr>
          <w:szCs w:val="22"/>
        </w:rPr>
        <w:t>Výše uvedené hodnoty, které vycházejí z číselníku CR0002, byly do AnaCredit doplněny na základě aktuálních požadavků CRÚ.</w:t>
      </w:r>
    </w:p>
    <w:p w:rsidR="006663ED" w:rsidRPr="00463E1A" w:rsidRDefault="006663ED" w:rsidP="006663ED">
      <w:pPr>
        <w:spacing w:before="120" w:after="120"/>
        <w:jc w:val="both"/>
        <w:rPr>
          <w:szCs w:val="22"/>
        </w:rPr>
      </w:pPr>
      <w:r w:rsidRPr="00463E1A">
        <w:rPr>
          <w:szCs w:val="22"/>
        </w:rPr>
        <w:t>Ukončení instrumentu, ke kterému došlo v průběhu příslušného období, je zaznamenáno vždy pouze k danému referenčnímu datu. V následujících obdobích již instrument nesmí být vykázán, jinak budou porušeny základní principy vykazování a vykazujícímu subjektu bude vrácena chyba prostřednictvím příslušné kontroly. Důležité je zmínit, že instrumenty, které vznikly a zároveň zanikly během jednoho období (měsíce), nejsou předmětem reportingu do AnaCredit. V těchto případech totiž není možné zachytit obě operace (vznik i zánik) najednou, aniž by nebyla porušena jedinečnost záznamů daného výkazu. Tento přístup je zároveň zcela v souladu s požadavky s ECB.</w:t>
      </w:r>
    </w:p>
    <w:p w:rsidR="006663ED" w:rsidRPr="00463E1A" w:rsidRDefault="006663ED" w:rsidP="006663ED">
      <w:pPr>
        <w:spacing w:before="120" w:after="120"/>
        <w:jc w:val="both"/>
        <w:rPr>
          <w:szCs w:val="22"/>
        </w:rPr>
      </w:pPr>
      <w:r w:rsidRPr="00463E1A">
        <w:rPr>
          <w:szCs w:val="22"/>
        </w:rPr>
        <w:t>Hlavní podstatou reportingu do AnaCredit je vykazování stavu portfolia k příslušnému referenčnímu datu. Vykazující subjekt by tak měl reportovat všechny relevantní instrumenty, které existují v jeho portfoliu ke konci daného měsíce (případně čtvrtletí), a navíc všechny takové instrumenty, které v průběhu daného období byly ukončeny, což je považováno za explicitní potvrzení faktu, že vykazující subjekt nezapomněl instrumenty vykázat. V souvislosti s touto problematikou je rovněž důležité poukázat na rozdílnost měsíčního a čtvrtletního vykazování. Hlavní roli zde hraje fakt, zda je měsíc, v rámci kterého došlo k ukončení instrumentu, zároveň čtvrtletím či nikoliv. Pokud je instrument ukončen v měsících, které zároveň nejsou čtvrtletími, tj. leden, únor, duben, květen, červenec, srpen, říjen a listopad, potom nejsou k těmto instrumentům vykazována žádná data obsažená ve čtvrtletních výkazech. Hlavním důvodem, proč není požadován reporting čtvrtletních údajů pro uvedené měsíce, je snaha o snížení zátěže pro vykazující subjekty, které by musely „uměle“ vykazovat ukončené instrumenty až do konce příslušného čtvrtletí. Pokud jsou však instrumenty ukončené v měsících, které jsou zároveň čtvrtletími, tj. březen, červen, září a prosinec, potom je potřeba vykázat i data obsažená ve čtvrtletních výkazech. Uvedená specifika jsou znázorněna v následujícím příkladu.</w:t>
      </w:r>
    </w:p>
    <w:tbl>
      <w:tblPr>
        <w:tblStyle w:val="TableGrid"/>
        <w:tblW w:w="9808" w:type="dxa"/>
        <w:jc w:val="center"/>
        <w:tblInd w:w="-781" w:type="dxa"/>
        <w:tblBorders>
          <w:top w:val="none" w:sz="0" w:space="0" w:color="auto"/>
          <w:bottom w:val="none" w:sz="0" w:space="0" w:color="auto"/>
        </w:tblBorders>
        <w:shd w:val="clear" w:color="auto" w:fill="FFFFFF" w:themeFill="background1"/>
        <w:tblLook w:val="04A0" w:firstRow="1" w:lastRow="0" w:firstColumn="1" w:lastColumn="0" w:noHBand="0" w:noVBand="1"/>
      </w:tblPr>
      <w:tblGrid>
        <w:gridCol w:w="10069"/>
      </w:tblGrid>
      <w:tr w:rsidR="006663ED" w:rsidRPr="00463E1A" w:rsidTr="00463E1A">
        <w:trPr>
          <w:trHeight w:val="397"/>
          <w:jc w:val="center"/>
        </w:trPr>
        <w:tc>
          <w:tcPr>
            <w:tcW w:w="9808" w:type="dxa"/>
            <w:shd w:val="clear" w:color="auto" w:fill="FFFFFF" w:themeFill="background1"/>
            <w:vAlign w:val="center"/>
          </w:tcPr>
          <w:p w:rsidR="006663ED" w:rsidRPr="00463E1A" w:rsidRDefault="006663ED" w:rsidP="00F8773C">
            <w:pPr>
              <w:rPr>
                <w:rFonts w:ascii="Times New Roman" w:hAnsi="Times New Roman"/>
                <w:b/>
                <w:szCs w:val="22"/>
              </w:rPr>
            </w:pPr>
            <w:r w:rsidRPr="00463E1A">
              <w:rPr>
                <w:rFonts w:ascii="Times New Roman" w:hAnsi="Times New Roman"/>
                <w:b/>
                <w:color w:val="4F81BD" w:themeColor="accent1"/>
                <w:szCs w:val="22"/>
              </w:rPr>
              <w:lastRenderedPageBreak/>
              <w:t>Příklad 1</w:t>
            </w:r>
          </w:p>
        </w:tc>
      </w:tr>
      <w:tr w:rsidR="006663ED" w:rsidRPr="00463E1A" w:rsidTr="00463E1A">
        <w:trPr>
          <w:trHeight w:val="992"/>
          <w:jc w:val="center"/>
        </w:trPr>
        <w:tc>
          <w:tcPr>
            <w:tcW w:w="9808" w:type="dxa"/>
            <w:shd w:val="clear" w:color="auto" w:fill="FFFFFF" w:themeFill="background1"/>
            <w:vAlign w:val="center"/>
          </w:tcPr>
          <w:p w:rsidR="006663ED" w:rsidRPr="00463E1A" w:rsidRDefault="006663ED" w:rsidP="00F8773C">
            <w:pPr>
              <w:spacing w:before="120" w:after="240"/>
              <w:jc w:val="both"/>
              <w:rPr>
                <w:rFonts w:ascii="Times New Roman" w:hAnsi="Times New Roman"/>
                <w:szCs w:val="22"/>
              </w:rPr>
            </w:pPr>
            <w:r w:rsidRPr="00463E1A">
              <w:rPr>
                <w:rFonts w:ascii="Times New Roman" w:hAnsi="Times New Roman"/>
                <w:szCs w:val="22"/>
              </w:rPr>
              <w:t>Vykazující subjekt BANK#A má svém portfoliu dva instrumenty INST#1 a INST#2 za dlužníkem DEBT#A, které jsou specifikovány v kontraktech CONT#1 a CONT#2. INST#1 vznikl dne 07/12/2018 ve výši 100 000 CZK, dlužník zaplatil první splátku ve výši 10 000 CZK dne 14/01/2019 a následně dne 07/02/2019 celý instrument splatil. INST#2 vznikl dne 11/12/2018 ve výši 150 000 CZK, první splátka ve výši 5 000 CZK proběhla dne 14/01/2019, druhá splátka ve výši 5 000 CZK dne 14/02/2019 a dne 07/03/2019 byl instrument kompletně splacen. V následující tabulce jsou zaznamenány vybrané výkazy a některé z atributů informující o příslušných instrumentech. Pro zlepšení přehlednosti a orientace nepředstavuje příklad níže reálný reporting (např. některé kódy jsou nahrazeny konkrétními hodnotami nebo je použit oddělovač tisíců).</w:t>
            </w:r>
          </w:p>
          <w:tbl>
            <w:tblPr>
              <w:tblStyle w:val="TableGrid"/>
              <w:tblW w:w="8962" w:type="dxa"/>
              <w:jc w:val="center"/>
              <w:tblLook w:val="04A0" w:firstRow="1" w:lastRow="0" w:firstColumn="1" w:lastColumn="0" w:noHBand="0" w:noVBand="1"/>
            </w:tblPr>
            <w:tblGrid>
              <w:gridCol w:w="1067"/>
              <w:gridCol w:w="1219"/>
              <w:gridCol w:w="1220"/>
              <w:gridCol w:w="1180"/>
              <w:gridCol w:w="1221"/>
              <w:gridCol w:w="1221"/>
              <w:gridCol w:w="1221"/>
              <w:gridCol w:w="1504"/>
            </w:tblGrid>
            <w:tr w:rsidR="006663ED" w:rsidRPr="00463E1A" w:rsidTr="00F8773C">
              <w:trPr>
                <w:trHeight w:val="283"/>
                <w:jc w:val="center"/>
              </w:trPr>
              <w:tc>
                <w:tcPr>
                  <w:tcW w:w="8962" w:type="dxa"/>
                  <w:gridSpan w:val="8"/>
                  <w:tcBorders>
                    <w:left w:val="nil"/>
                    <w:righ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PANACR02 (Instrument)</w:t>
                  </w:r>
                </w:p>
              </w:tc>
            </w:tr>
            <w:tr w:rsidR="006663ED" w:rsidRPr="00463E1A" w:rsidTr="00F8773C">
              <w:trPr>
                <w:jc w:val="center"/>
              </w:trPr>
              <w:tc>
                <w:tcPr>
                  <w:tcW w:w="1037"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Referenční datum</w:t>
                  </w:r>
                </w:p>
              </w:tc>
              <w:tc>
                <w:tcPr>
                  <w:tcW w:w="92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kontraktu</w:t>
                  </w:r>
                </w:p>
              </w:tc>
              <w:tc>
                <w:tcPr>
                  <w:tcW w:w="1089"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instrumentu</w:t>
                  </w:r>
                </w:p>
              </w:tc>
              <w:tc>
                <w:tcPr>
                  <w:tcW w:w="1203"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Typ instrumentu</w:t>
                  </w:r>
                </w:p>
              </w:tc>
              <w:tc>
                <w:tcPr>
                  <w:tcW w:w="123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Datum vzniku</w:t>
                  </w:r>
                </w:p>
              </w:tc>
              <w:tc>
                <w:tcPr>
                  <w:tcW w:w="1268"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Výše závazku při vzniku instrumentu</w:t>
                  </w:r>
                </w:p>
              </w:tc>
              <w:tc>
                <w:tcPr>
                  <w:tcW w:w="111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w:t>
                  </w:r>
                </w:p>
              </w:tc>
              <w:tc>
                <w:tcPr>
                  <w:tcW w:w="1087" w:type="dxa"/>
                  <w:tcBorders>
                    <w:righ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Stav instrumentu</w:t>
                  </w:r>
                </w:p>
              </w:tc>
            </w:tr>
            <w:tr w:rsidR="006663ED" w:rsidRPr="00463E1A" w:rsidTr="00F8773C">
              <w:trPr>
                <w:trHeight w:val="283"/>
                <w:jc w:val="center"/>
              </w:trPr>
              <w:tc>
                <w:tcPr>
                  <w:tcW w:w="1037" w:type="dxa"/>
                  <w:tcBorders>
                    <w:lef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31/12/2018</w:t>
                  </w:r>
                </w:p>
              </w:tc>
              <w:tc>
                <w:tcPr>
                  <w:tcW w:w="926" w:type="dxa"/>
                  <w:vAlign w:val="center"/>
                </w:tcPr>
                <w:p w:rsidR="006663ED" w:rsidRPr="00463E1A" w:rsidRDefault="006663ED" w:rsidP="00F8773C">
                  <w:pPr>
                    <w:rPr>
                      <w:rFonts w:ascii="Times New Roman" w:hAnsi="Times New Roman"/>
                      <w:szCs w:val="22"/>
                      <w:lang w:val="en-US"/>
                    </w:rPr>
                  </w:pPr>
                  <w:r w:rsidRPr="00463E1A">
                    <w:rPr>
                      <w:rFonts w:ascii="Times New Roman" w:hAnsi="Times New Roman"/>
                      <w:szCs w:val="22"/>
                    </w:rPr>
                    <w:t>CONT</w:t>
                  </w:r>
                  <w:r w:rsidRPr="00463E1A">
                    <w:rPr>
                      <w:rFonts w:ascii="Times New Roman" w:hAnsi="Times New Roman"/>
                      <w:szCs w:val="22"/>
                      <w:lang w:val="en-US"/>
                    </w:rPr>
                    <w:t>#1</w:t>
                  </w:r>
                </w:p>
              </w:tc>
              <w:tc>
                <w:tcPr>
                  <w:tcW w:w="1089"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INST#1</w:t>
                  </w:r>
                </w:p>
              </w:tc>
              <w:tc>
                <w:tcPr>
                  <w:tcW w:w="1203"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Ostatní úvěry</w:t>
                  </w:r>
                </w:p>
              </w:tc>
              <w:tc>
                <w:tcPr>
                  <w:tcW w:w="123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07.12.2018</w:t>
                  </w:r>
                </w:p>
              </w:tc>
              <w:tc>
                <w:tcPr>
                  <w:tcW w:w="1268"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100 000.00</w:t>
                  </w:r>
                </w:p>
              </w:tc>
              <w:tc>
                <w:tcPr>
                  <w:tcW w:w="111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w:t>
                  </w:r>
                </w:p>
              </w:tc>
              <w:tc>
                <w:tcPr>
                  <w:tcW w:w="1087"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Nová pohledávka vzniklá v bance</w:t>
                  </w:r>
                </w:p>
              </w:tc>
            </w:tr>
            <w:tr w:rsidR="006663ED" w:rsidRPr="00463E1A" w:rsidTr="00F8773C">
              <w:trPr>
                <w:trHeight w:val="283"/>
                <w:jc w:val="center"/>
              </w:trPr>
              <w:tc>
                <w:tcPr>
                  <w:tcW w:w="1037" w:type="dxa"/>
                  <w:tcBorders>
                    <w:left w:val="nil"/>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31/12/2018</w:t>
                  </w:r>
                </w:p>
              </w:tc>
              <w:tc>
                <w:tcPr>
                  <w:tcW w:w="926" w:type="dxa"/>
                  <w:tcBorders>
                    <w:bottom w:val="single" w:sz="4" w:space="0" w:color="auto"/>
                  </w:tcBorders>
                  <w:vAlign w:val="center"/>
                </w:tcPr>
                <w:p w:rsidR="006663ED" w:rsidRPr="00463E1A" w:rsidRDefault="006663ED" w:rsidP="00F8773C">
                  <w:pPr>
                    <w:rPr>
                      <w:rFonts w:ascii="Times New Roman" w:hAnsi="Times New Roman"/>
                      <w:szCs w:val="22"/>
                      <w:lang w:val="en-US"/>
                    </w:rPr>
                  </w:pPr>
                  <w:r w:rsidRPr="00463E1A">
                    <w:rPr>
                      <w:rFonts w:ascii="Times New Roman" w:hAnsi="Times New Roman"/>
                      <w:szCs w:val="22"/>
                    </w:rPr>
                    <w:t>CONT</w:t>
                  </w:r>
                  <w:r w:rsidRPr="00463E1A">
                    <w:rPr>
                      <w:rFonts w:ascii="Times New Roman" w:hAnsi="Times New Roman"/>
                      <w:szCs w:val="22"/>
                      <w:lang w:val="en-US"/>
                    </w:rPr>
                    <w:t>#2</w:t>
                  </w:r>
                </w:p>
              </w:tc>
              <w:tc>
                <w:tcPr>
                  <w:tcW w:w="1089"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INST#2</w:t>
                  </w:r>
                </w:p>
              </w:tc>
              <w:tc>
                <w:tcPr>
                  <w:tcW w:w="1203"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Ostatní úvěry</w:t>
                  </w:r>
                </w:p>
              </w:tc>
              <w:tc>
                <w:tcPr>
                  <w:tcW w:w="1236"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11.12.2018</w:t>
                  </w:r>
                </w:p>
              </w:tc>
              <w:tc>
                <w:tcPr>
                  <w:tcW w:w="1268"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150 000.00</w:t>
                  </w:r>
                </w:p>
              </w:tc>
              <w:tc>
                <w:tcPr>
                  <w:tcW w:w="1116"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w:t>
                  </w:r>
                </w:p>
              </w:tc>
              <w:tc>
                <w:tcPr>
                  <w:tcW w:w="1087" w:type="dxa"/>
                  <w:tcBorders>
                    <w:bottom w:val="single" w:sz="4" w:space="0" w:color="auto"/>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Nová pohledávka vzniklá v bance</w:t>
                  </w:r>
                </w:p>
              </w:tc>
            </w:tr>
            <w:tr w:rsidR="006663ED" w:rsidRPr="00463E1A" w:rsidTr="00F8773C">
              <w:trPr>
                <w:trHeight w:val="283"/>
                <w:jc w:val="center"/>
              </w:trPr>
              <w:tc>
                <w:tcPr>
                  <w:tcW w:w="1037" w:type="dxa"/>
                  <w:tcBorders>
                    <w:lef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31/01/2019</w:t>
                  </w:r>
                </w:p>
              </w:tc>
              <w:tc>
                <w:tcPr>
                  <w:tcW w:w="926" w:type="dxa"/>
                  <w:vAlign w:val="center"/>
                </w:tcPr>
                <w:p w:rsidR="006663ED" w:rsidRPr="00463E1A" w:rsidRDefault="006663ED" w:rsidP="00F8773C">
                  <w:pPr>
                    <w:rPr>
                      <w:rFonts w:ascii="Times New Roman" w:hAnsi="Times New Roman"/>
                      <w:szCs w:val="22"/>
                      <w:lang w:val="en-US"/>
                    </w:rPr>
                  </w:pPr>
                  <w:r w:rsidRPr="00463E1A">
                    <w:rPr>
                      <w:rFonts w:ascii="Times New Roman" w:hAnsi="Times New Roman"/>
                      <w:szCs w:val="22"/>
                    </w:rPr>
                    <w:t>CONT</w:t>
                  </w:r>
                  <w:r w:rsidRPr="00463E1A">
                    <w:rPr>
                      <w:rFonts w:ascii="Times New Roman" w:hAnsi="Times New Roman"/>
                      <w:szCs w:val="22"/>
                      <w:lang w:val="en-US"/>
                    </w:rPr>
                    <w:t>#1</w:t>
                  </w:r>
                </w:p>
              </w:tc>
              <w:tc>
                <w:tcPr>
                  <w:tcW w:w="1089"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INST#1</w:t>
                  </w:r>
                </w:p>
              </w:tc>
              <w:tc>
                <w:tcPr>
                  <w:tcW w:w="1203"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Ostatní úvěry</w:t>
                  </w:r>
                </w:p>
              </w:tc>
              <w:tc>
                <w:tcPr>
                  <w:tcW w:w="123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07.12.2018</w:t>
                  </w:r>
                </w:p>
              </w:tc>
              <w:tc>
                <w:tcPr>
                  <w:tcW w:w="1268"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100 000.00</w:t>
                  </w:r>
                </w:p>
              </w:tc>
              <w:tc>
                <w:tcPr>
                  <w:tcW w:w="111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w:t>
                  </w:r>
                </w:p>
              </w:tc>
              <w:tc>
                <w:tcPr>
                  <w:tcW w:w="1087"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r>
            <w:tr w:rsidR="006663ED" w:rsidRPr="00463E1A" w:rsidTr="00F8773C">
              <w:trPr>
                <w:trHeight w:val="283"/>
                <w:jc w:val="center"/>
              </w:trPr>
              <w:tc>
                <w:tcPr>
                  <w:tcW w:w="1037" w:type="dxa"/>
                  <w:tcBorders>
                    <w:lef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31/01/2019</w:t>
                  </w:r>
                </w:p>
              </w:tc>
              <w:tc>
                <w:tcPr>
                  <w:tcW w:w="926" w:type="dxa"/>
                  <w:vAlign w:val="center"/>
                </w:tcPr>
                <w:p w:rsidR="006663ED" w:rsidRPr="00463E1A" w:rsidRDefault="006663ED" w:rsidP="00F8773C">
                  <w:pPr>
                    <w:rPr>
                      <w:rFonts w:ascii="Times New Roman" w:hAnsi="Times New Roman"/>
                      <w:szCs w:val="22"/>
                      <w:lang w:val="en-US"/>
                    </w:rPr>
                  </w:pPr>
                  <w:r w:rsidRPr="00463E1A">
                    <w:rPr>
                      <w:rFonts w:ascii="Times New Roman" w:hAnsi="Times New Roman"/>
                      <w:szCs w:val="22"/>
                    </w:rPr>
                    <w:t>CONT</w:t>
                  </w:r>
                  <w:r w:rsidRPr="00463E1A">
                    <w:rPr>
                      <w:rFonts w:ascii="Times New Roman" w:hAnsi="Times New Roman"/>
                      <w:szCs w:val="22"/>
                      <w:lang w:val="en-US"/>
                    </w:rPr>
                    <w:t>#2</w:t>
                  </w:r>
                </w:p>
              </w:tc>
              <w:tc>
                <w:tcPr>
                  <w:tcW w:w="1089"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INST#2</w:t>
                  </w:r>
                </w:p>
              </w:tc>
              <w:tc>
                <w:tcPr>
                  <w:tcW w:w="1203"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Ostatní úvěry</w:t>
                  </w:r>
                </w:p>
              </w:tc>
              <w:tc>
                <w:tcPr>
                  <w:tcW w:w="123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11.12.2018</w:t>
                  </w:r>
                </w:p>
              </w:tc>
              <w:tc>
                <w:tcPr>
                  <w:tcW w:w="1268"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150 000.00</w:t>
                  </w:r>
                </w:p>
              </w:tc>
              <w:tc>
                <w:tcPr>
                  <w:tcW w:w="111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w:t>
                  </w:r>
                </w:p>
              </w:tc>
              <w:tc>
                <w:tcPr>
                  <w:tcW w:w="1087"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r>
            <w:tr w:rsidR="006663ED" w:rsidRPr="00463E1A" w:rsidTr="00F8773C">
              <w:trPr>
                <w:trHeight w:val="283"/>
                <w:jc w:val="center"/>
              </w:trPr>
              <w:tc>
                <w:tcPr>
                  <w:tcW w:w="1037" w:type="dxa"/>
                  <w:tcBorders>
                    <w:lef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28/02/2019</w:t>
                  </w:r>
                </w:p>
              </w:tc>
              <w:tc>
                <w:tcPr>
                  <w:tcW w:w="926" w:type="dxa"/>
                  <w:vAlign w:val="center"/>
                </w:tcPr>
                <w:p w:rsidR="006663ED" w:rsidRPr="00463E1A" w:rsidRDefault="006663ED" w:rsidP="00F8773C">
                  <w:pPr>
                    <w:rPr>
                      <w:rFonts w:ascii="Times New Roman" w:hAnsi="Times New Roman"/>
                      <w:szCs w:val="22"/>
                      <w:lang w:val="en-US"/>
                    </w:rPr>
                  </w:pPr>
                  <w:r w:rsidRPr="00463E1A">
                    <w:rPr>
                      <w:rFonts w:ascii="Times New Roman" w:hAnsi="Times New Roman"/>
                      <w:szCs w:val="22"/>
                    </w:rPr>
                    <w:t>CONT</w:t>
                  </w:r>
                  <w:r w:rsidRPr="00463E1A">
                    <w:rPr>
                      <w:rFonts w:ascii="Times New Roman" w:hAnsi="Times New Roman"/>
                      <w:szCs w:val="22"/>
                      <w:lang w:val="en-US"/>
                    </w:rPr>
                    <w:t>#1</w:t>
                  </w:r>
                </w:p>
              </w:tc>
              <w:tc>
                <w:tcPr>
                  <w:tcW w:w="1089"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INST#1</w:t>
                  </w:r>
                </w:p>
              </w:tc>
              <w:tc>
                <w:tcPr>
                  <w:tcW w:w="1203"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Ostatní úvěry</w:t>
                  </w:r>
                </w:p>
              </w:tc>
              <w:tc>
                <w:tcPr>
                  <w:tcW w:w="123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07.12.2018</w:t>
                  </w:r>
                </w:p>
              </w:tc>
              <w:tc>
                <w:tcPr>
                  <w:tcW w:w="1268"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100 000.00</w:t>
                  </w:r>
                </w:p>
              </w:tc>
              <w:tc>
                <w:tcPr>
                  <w:tcW w:w="111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w:t>
                  </w:r>
                </w:p>
              </w:tc>
              <w:tc>
                <w:tcPr>
                  <w:tcW w:w="1087"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Vyrovnaná pohledávka v rámci banky</w:t>
                  </w:r>
                </w:p>
              </w:tc>
            </w:tr>
            <w:tr w:rsidR="006663ED" w:rsidRPr="00463E1A" w:rsidTr="00F8773C">
              <w:trPr>
                <w:trHeight w:val="283"/>
                <w:jc w:val="center"/>
              </w:trPr>
              <w:tc>
                <w:tcPr>
                  <w:tcW w:w="1037" w:type="dxa"/>
                  <w:tcBorders>
                    <w:lef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28/02/2019</w:t>
                  </w:r>
                </w:p>
              </w:tc>
              <w:tc>
                <w:tcPr>
                  <w:tcW w:w="926" w:type="dxa"/>
                  <w:vAlign w:val="center"/>
                </w:tcPr>
                <w:p w:rsidR="006663ED" w:rsidRPr="00463E1A" w:rsidRDefault="006663ED" w:rsidP="00F8773C">
                  <w:pPr>
                    <w:rPr>
                      <w:rFonts w:ascii="Times New Roman" w:hAnsi="Times New Roman"/>
                      <w:szCs w:val="22"/>
                      <w:lang w:val="en-US"/>
                    </w:rPr>
                  </w:pPr>
                  <w:r w:rsidRPr="00463E1A">
                    <w:rPr>
                      <w:rFonts w:ascii="Times New Roman" w:hAnsi="Times New Roman"/>
                      <w:szCs w:val="22"/>
                    </w:rPr>
                    <w:t>CONT</w:t>
                  </w:r>
                  <w:r w:rsidRPr="00463E1A">
                    <w:rPr>
                      <w:rFonts w:ascii="Times New Roman" w:hAnsi="Times New Roman"/>
                      <w:szCs w:val="22"/>
                      <w:lang w:val="en-US"/>
                    </w:rPr>
                    <w:t>#2</w:t>
                  </w:r>
                </w:p>
              </w:tc>
              <w:tc>
                <w:tcPr>
                  <w:tcW w:w="1089"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INST#2</w:t>
                  </w:r>
                </w:p>
              </w:tc>
              <w:tc>
                <w:tcPr>
                  <w:tcW w:w="1203"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Ostatní úvěry</w:t>
                  </w:r>
                </w:p>
              </w:tc>
              <w:tc>
                <w:tcPr>
                  <w:tcW w:w="123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11.12.2018</w:t>
                  </w:r>
                </w:p>
              </w:tc>
              <w:tc>
                <w:tcPr>
                  <w:tcW w:w="1268"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150 000.00</w:t>
                  </w:r>
                </w:p>
              </w:tc>
              <w:tc>
                <w:tcPr>
                  <w:tcW w:w="111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w:t>
                  </w:r>
                </w:p>
              </w:tc>
              <w:tc>
                <w:tcPr>
                  <w:tcW w:w="1087"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r>
            <w:tr w:rsidR="006663ED" w:rsidRPr="00463E1A" w:rsidTr="00F8773C">
              <w:trPr>
                <w:trHeight w:val="283"/>
                <w:jc w:val="center"/>
              </w:trPr>
              <w:tc>
                <w:tcPr>
                  <w:tcW w:w="1037" w:type="dxa"/>
                  <w:tcBorders>
                    <w:left w:val="nil"/>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31/03/2019</w:t>
                  </w:r>
                </w:p>
              </w:tc>
              <w:tc>
                <w:tcPr>
                  <w:tcW w:w="926" w:type="dxa"/>
                  <w:tcBorders>
                    <w:bottom w:val="single" w:sz="4" w:space="0" w:color="auto"/>
                  </w:tcBorders>
                  <w:vAlign w:val="center"/>
                </w:tcPr>
                <w:p w:rsidR="006663ED" w:rsidRPr="00463E1A" w:rsidRDefault="006663ED" w:rsidP="00F8773C">
                  <w:pPr>
                    <w:rPr>
                      <w:rFonts w:ascii="Times New Roman" w:hAnsi="Times New Roman"/>
                      <w:szCs w:val="22"/>
                      <w:lang w:val="en-US"/>
                    </w:rPr>
                  </w:pPr>
                  <w:r w:rsidRPr="00463E1A">
                    <w:rPr>
                      <w:rFonts w:ascii="Times New Roman" w:hAnsi="Times New Roman"/>
                      <w:szCs w:val="22"/>
                    </w:rPr>
                    <w:t>CONT</w:t>
                  </w:r>
                  <w:r w:rsidRPr="00463E1A">
                    <w:rPr>
                      <w:rFonts w:ascii="Times New Roman" w:hAnsi="Times New Roman"/>
                      <w:szCs w:val="22"/>
                      <w:lang w:val="en-US"/>
                    </w:rPr>
                    <w:t>#2</w:t>
                  </w:r>
                </w:p>
              </w:tc>
              <w:tc>
                <w:tcPr>
                  <w:tcW w:w="1089"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INST#2</w:t>
                  </w:r>
                </w:p>
              </w:tc>
              <w:tc>
                <w:tcPr>
                  <w:tcW w:w="1203"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Ostatní úvěry</w:t>
                  </w:r>
                </w:p>
              </w:tc>
              <w:tc>
                <w:tcPr>
                  <w:tcW w:w="1236"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11.12.2018</w:t>
                  </w:r>
                </w:p>
              </w:tc>
              <w:tc>
                <w:tcPr>
                  <w:tcW w:w="1268"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150 000.00</w:t>
                  </w:r>
                </w:p>
              </w:tc>
              <w:tc>
                <w:tcPr>
                  <w:tcW w:w="1116"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w:t>
                  </w:r>
                </w:p>
              </w:tc>
              <w:tc>
                <w:tcPr>
                  <w:tcW w:w="1087" w:type="dxa"/>
                  <w:tcBorders>
                    <w:bottom w:val="single" w:sz="4" w:space="0" w:color="auto"/>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Vyrovnaná pohledávka v rámci banky</w:t>
                  </w:r>
                </w:p>
              </w:tc>
            </w:tr>
            <w:tr w:rsidR="006663ED" w:rsidRPr="00463E1A" w:rsidTr="00F8773C">
              <w:trPr>
                <w:trHeight w:val="283"/>
                <w:jc w:val="center"/>
              </w:trPr>
              <w:tc>
                <w:tcPr>
                  <w:tcW w:w="8962" w:type="dxa"/>
                  <w:gridSpan w:val="8"/>
                  <w:tcBorders>
                    <w:left w:val="nil"/>
                    <w:righ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PANACR03 (</w:t>
                  </w:r>
                  <w:proofErr w:type="spellStart"/>
                  <w:r w:rsidRPr="00463E1A">
                    <w:rPr>
                      <w:rFonts w:ascii="Times New Roman" w:hAnsi="Times New Roman"/>
                      <w:b/>
                      <w:color w:val="4F81BD" w:themeColor="accent1"/>
                      <w:szCs w:val="22"/>
                    </w:rPr>
                    <w:t>Financial</w:t>
                  </w:r>
                  <w:proofErr w:type="spellEnd"/>
                  <w:r w:rsidRPr="00463E1A">
                    <w:rPr>
                      <w:rFonts w:ascii="Times New Roman" w:hAnsi="Times New Roman"/>
                      <w:b/>
                      <w:color w:val="4F81BD" w:themeColor="accent1"/>
                      <w:szCs w:val="22"/>
                    </w:rPr>
                    <w:t>)</w:t>
                  </w:r>
                </w:p>
              </w:tc>
            </w:tr>
            <w:tr w:rsidR="006663ED" w:rsidRPr="00463E1A" w:rsidTr="00F8773C">
              <w:trPr>
                <w:trHeight w:val="340"/>
                <w:jc w:val="center"/>
              </w:trPr>
              <w:tc>
                <w:tcPr>
                  <w:tcW w:w="1037"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Referenční datum</w:t>
                  </w:r>
                </w:p>
              </w:tc>
              <w:tc>
                <w:tcPr>
                  <w:tcW w:w="92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kontraktu</w:t>
                  </w:r>
                </w:p>
              </w:tc>
              <w:tc>
                <w:tcPr>
                  <w:tcW w:w="1089"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instrumentu</w:t>
                  </w:r>
                </w:p>
              </w:tc>
              <w:tc>
                <w:tcPr>
                  <w:tcW w:w="1203"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Úroková sazba</w:t>
                  </w:r>
                </w:p>
              </w:tc>
              <w:tc>
                <w:tcPr>
                  <w:tcW w:w="123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w:t>
                  </w:r>
                </w:p>
              </w:tc>
              <w:tc>
                <w:tcPr>
                  <w:tcW w:w="1268"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Nesplacená nominální hodnota</w:t>
                  </w:r>
                </w:p>
              </w:tc>
              <w:tc>
                <w:tcPr>
                  <w:tcW w:w="111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Naběhlý úrok</w:t>
                  </w:r>
                </w:p>
              </w:tc>
              <w:tc>
                <w:tcPr>
                  <w:tcW w:w="1087" w:type="dxa"/>
                  <w:tcBorders>
                    <w:righ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Hodnota podrozvahových položek</w:t>
                  </w:r>
                </w:p>
              </w:tc>
            </w:tr>
            <w:tr w:rsidR="006663ED" w:rsidRPr="00463E1A" w:rsidTr="00F8773C">
              <w:trPr>
                <w:trHeight w:val="283"/>
                <w:jc w:val="center"/>
              </w:trPr>
              <w:tc>
                <w:tcPr>
                  <w:tcW w:w="1037" w:type="dxa"/>
                  <w:tcBorders>
                    <w:lef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31/12/2018</w:t>
                  </w:r>
                </w:p>
              </w:tc>
              <w:tc>
                <w:tcPr>
                  <w:tcW w:w="926" w:type="dxa"/>
                  <w:vAlign w:val="center"/>
                </w:tcPr>
                <w:p w:rsidR="006663ED" w:rsidRPr="00463E1A" w:rsidRDefault="006663ED" w:rsidP="00F8773C">
                  <w:pPr>
                    <w:rPr>
                      <w:rFonts w:ascii="Times New Roman" w:hAnsi="Times New Roman"/>
                      <w:szCs w:val="22"/>
                      <w:lang w:val="en-US"/>
                    </w:rPr>
                  </w:pPr>
                  <w:r w:rsidRPr="00463E1A">
                    <w:rPr>
                      <w:rFonts w:ascii="Times New Roman" w:hAnsi="Times New Roman"/>
                      <w:szCs w:val="22"/>
                    </w:rPr>
                    <w:t>CONT</w:t>
                  </w:r>
                  <w:r w:rsidRPr="00463E1A">
                    <w:rPr>
                      <w:rFonts w:ascii="Times New Roman" w:hAnsi="Times New Roman"/>
                      <w:szCs w:val="22"/>
                      <w:lang w:val="en-US"/>
                    </w:rPr>
                    <w:t>#1</w:t>
                  </w:r>
                </w:p>
              </w:tc>
              <w:tc>
                <w:tcPr>
                  <w:tcW w:w="1089"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INST#1</w:t>
                  </w:r>
                </w:p>
              </w:tc>
              <w:tc>
                <w:tcPr>
                  <w:tcW w:w="1203"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0.045600</w:t>
                  </w:r>
                </w:p>
              </w:tc>
              <w:tc>
                <w:tcPr>
                  <w:tcW w:w="123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w:t>
                  </w:r>
                </w:p>
              </w:tc>
              <w:tc>
                <w:tcPr>
                  <w:tcW w:w="1268"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100 000.00</w:t>
                  </w:r>
                </w:p>
              </w:tc>
              <w:tc>
                <w:tcPr>
                  <w:tcW w:w="111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750.00</w:t>
                  </w:r>
                </w:p>
              </w:tc>
              <w:tc>
                <w:tcPr>
                  <w:tcW w:w="1087"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0.00</w:t>
                  </w:r>
                </w:p>
              </w:tc>
            </w:tr>
            <w:tr w:rsidR="006663ED" w:rsidRPr="00463E1A" w:rsidTr="00F8773C">
              <w:trPr>
                <w:trHeight w:val="283"/>
                <w:jc w:val="center"/>
              </w:trPr>
              <w:tc>
                <w:tcPr>
                  <w:tcW w:w="1037" w:type="dxa"/>
                  <w:tcBorders>
                    <w:lef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31/12/2018</w:t>
                  </w:r>
                </w:p>
              </w:tc>
              <w:tc>
                <w:tcPr>
                  <w:tcW w:w="926" w:type="dxa"/>
                  <w:vAlign w:val="center"/>
                </w:tcPr>
                <w:p w:rsidR="006663ED" w:rsidRPr="00463E1A" w:rsidRDefault="006663ED" w:rsidP="00F8773C">
                  <w:pPr>
                    <w:rPr>
                      <w:rFonts w:ascii="Times New Roman" w:hAnsi="Times New Roman"/>
                      <w:szCs w:val="22"/>
                      <w:lang w:val="en-US"/>
                    </w:rPr>
                  </w:pPr>
                  <w:r w:rsidRPr="00463E1A">
                    <w:rPr>
                      <w:rFonts w:ascii="Times New Roman" w:hAnsi="Times New Roman"/>
                      <w:szCs w:val="22"/>
                    </w:rPr>
                    <w:t>CONT</w:t>
                  </w:r>
                  <w:r w:rsidRPr="00463E1A">
                    <w:rPr>
                      <w:rFonts w:ascii="Times New Roman" w:hAnsi="Times New Roman"/>
                      <w:szCs w:val="22"/>
                      <w:lang w:val="en-US"/>
                    </w:rPr>
                    <w:t>#2</w:t>
                  </w:r>
                </w:p>
              </w:tc>
              <w:tc>
                <w:tcPr>
                  <w:tcW w:w="1089"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INST#2</w:t>
                  </w:r>
                </w:p>
              </w:tc>
              <w:tc>
                <w:tcPr>
                  <w:tcW w:w="1203"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0.032200</w:t>
                  </w:r>
                </w:p>
              </w:tc>
              <w:tc>
                <w:tcPr>
                  <w:tcW w:w="123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w:t>
                  </w:r>
                </w:p>
              </w:tc>
              <w:tc>
                <w:tcPr>
                  <w:tcW w:w="1268"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150 000.00</w:t>
                  </w:r>
                </w:p>
              </w:tc>
              <w:tc>
                <w:tcPr>
                  <w:tcW w:w="111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1 150.00</w:t>
                  </w:r>
                </w:p>
              </w:tc>
              <w:tc>
                <w:tcPr>
                  <w:tcW w:w="1087"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0.00</w:t>
                  </w:r>
                </w:p>
              </w:tc>
            </w:tr>
            <w:tr w:rsidR="006663ED" w:rsidRPr="00463E1A" w:rsidTr="00F8773C">
              <w:trPr>
                <w:trHeight w:val="283"/>
                <w:jc w:val="center"/>
              </w:trPr>
              <w:tc>
                <w:tcPr>
                  <w:tcW w:w="1037" w:type="dxa"/>
                  <w:tcBorders>
                    <w:lef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31/01/2019</w:t>
                  </w:r>
                </w:p>
              </w:tc>
              <w:tc>
                <w:tcPr>
                  <w:tcW w:w="926" w:type="dxa"/>
                  <w:vAlign w:val="center"/>
                </w:tcPr>
                <w:p w:rsidR="006663ED" w:rsidRPr="00463E1A" w:rsidRDefault="006663ED" w:rsidP="00F8773C">
                  <w:pPr>
                    <w:rPr>
                      <w:rFonts w:ascii="Times New Roman" w:hAnsi="Times New Roman"/>
                      <w:szCs w:val="22"/>
                      <w:lang w:val="en-US"/>
                    </w:rPr>
                  </w:pPr>
                  <w:r w:rsidRPr="00463E1A">
                    <w:rPr>
                      <w:rFonts w:ascii="Times New Roman" w:hAnsi="Times New Roman"/>
                      <w:szCs w:val="22"/>
                    </w:rPr>
                    <w:t>CONT</w:t>
                  </w:r>
                  <w:r w:rsidRPr="00463E1A">
                    <w:rPr>
                      <w:rFonts w:ascii="Times New Roman" w:hAnsi="Times New Roman"/>
                      <w:szCs w:val="22"/>
                      <w:lang w:val="en-US"/>
                    </w:rPr>
                    <w:t>#1</w:t>
                  </w:r>
                </w:p>
              </w:tc>
              <w:tc>
                <w:tcPr>
                  <w:tcW w:w="1089"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INST#1</w:t>
                  </w:r>
                </w:p>
              </w:tc>
              <w:tc>
                <w:tcPr>
                  <w:tcW w:w="1203"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0.045600</w:t>
                  </w:r>
                </w:p>
              </w:tc>
              <w:tc>
                <w:tcPr>
                  <w:tcW w:w="123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w:t>
                  </w:r>
                </w:p>
              </w:tc>
              <w:tc>
                <w:tcPr>
                  <w:tcW w:w="1268"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90 000.00</w:t>
                  </w:r>
                </w:p>
              </w:tc>
              <w:tc>
                <w:tcPr>
                  <w:tcW w:w="111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650.00</w:t>
                  </w:r>
                </w:p>
              </w:tc>
              <w:tc>
                <w:tcPr>
                  <w:tcW w:w="1087"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0.00</w:t>
                  </w:r>
                </w:p>
              </w:tc>
            </w:tr>
            <w:tr w:rsidR="006663ED" w:rsidRPr="00463E1A" w:rsidTr="00F8773C">
              <w:trPr>
                <w:trHeight w:val="283"/>
                <w:jc w:val="center"/>
              </w:trPr>
              <w:tc>
                <w:tcPr>
                  <w:tcW w:w="1037" w:type="dxa"/>
                  <w:tcBorders>
                    <w:lef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31/01/2019</w:t>
                  </w:r>
                </w:p>
              </w:tc>
              <w:tc>
                <w:tcPr>
                  <w:tcW w:w="926" w:type="dxa"/>
                  <w:vAlign w:val="center"/>
                </w:tcPr>
                <w:p w:rsidR="006663ED" w:rsidRPr="00463E1A" w:rsidRDefault="006663ED" w:rsidP="00F8773C">
                  <w:pPr>
                    <w:rPr>
                      <w:rFonts w:ascii="Times New Roman" w:hAnsi="Times New Roman"/>
                      <w:szCs w:val="22"/>
                      <w:lang w:val="en-US"/>
                    </w:rPr>
                  </w:pPr>
                  <w:r w:rsidRPr="00463E1A">
                    <w:rPr>
                      <w:rFonts w:ascii="Times New Roman" w:hAnsi="Times New Roman"/>
                      <w:szCs w:val="22"/>
                    </w:rPr>
                    <w:t>CONT</w:t>
                  </w:r>
                  <w:r w:rsidRPr="00463E1A">
                    <w:rPr>
                      <w:rFonts w:ascii="Times New Roman" w:hAnsi="Times New Roman"/>
                      <w:szCs w:val="22"/>
                      <w:lang w:val="en-US"/>
                    </w:rPr>
                    <w:t>#2</w:t>
                  </w:r>
                </w:p>
              </w:tc>
              <w:tc>
                <w:tcPr>
                  <w:tcW w:w="1089"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INST#2</w:t>
                  </w:r>
                </w:p>
              </w:tc>
              <w:tc>
                <w:tcPr>
                  <w:tcW w:w="1203"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0.032200</w:t>
                  </w:r>
                </w:p>
              </w:tc>
              <w:tc>
                <w:tcPr>
                  <w:tcW w:w="123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w:t>
                  </w:r>
                </w:p>
              </w:tc>
              <w:tc>
                <w:tcPr>
                  <w:tcW w:w="1268"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145 000.00</w:t>
                  </w:r>
                </w:p>
              </w:tc>
              <w:tc>
                <w:tcPr>
                  <w:tcW w:w="111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1 100.00</w:t>
                  </w:r>
                </w:p>
              </w:tc>
              <w:tc>
                <w:tcPr>
                  <w:tcW w:w="1087"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0.00</w:t>
                  </w:r>
                </w:p>
              </w:tc>
            </w:tr>
            <w:tr w:rsidR="006663ED" w:rsidRPr="00463E1A" w:rsidTr="00F8773C">
              <w:trPr>
                <w:trHeight w:val="283"/>
                <w:jc w:val="center"/>
              </w:trPr>
              <w:tc>
                <w:tcPr>
                  <w:tcW w:w="1037" w:type="dxa"/>
                  <w:tcBorders>
                    <w:lef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28/02/2019</w:t>
                  </w:r>
                </w:p>
              </w:tc>
              <w:tc>
                <w:tcPr>
                  <w:tcW w:w="926" w:type="dxa"/>
                  <w:vAlign w:val="center"/>
                </w:tcPr>
                <w:p w:rsidR="006663ED" w:rsidRPr="00463E1A" w:rsidRDefault="006663ED" w:rsidP="00F8773C">
                  <w:pPr>
                    <w:rPr>
                      <w:rFonts w:ascii="Times New Roman" w:hAnsi="Times New Roman"/>
                      <w:szCs w:val="22"/>
                      <w:lang w:val="en-US"/>
                    </w:rPr>
                  </w:pPr>
                  <w:r w:rsidRPr="00463E1A">
                    <w:rPr>
                      <w:rFonts w:ascii="Times New Roman" w:hAnsi="Times New Roman"/>
                      <w:szCs w:val="22"/>
                    </w:rPr>
                    <w:t>CONT</w:t>
                  </w:r>
                  <w:r w:rsidRPr="00463E1A">
                    <w:rPr>
                      <w:rFonts w:ascii="Times New Roman" w:hAnsi="Times New Roman"/>
                      <w:szCs w:val="22"/>
                      <w:lang w:val="en-US"/>
                    </w:rPr>
                    <w:t>#1</w:t>
                  </w:r>
                </w:p>
              </w:tc>
              <w:tc>
                <w:tcPr>
                  <w:tcW w:w="1089"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INST#1</w:t>
                  </w:r>
                </w:p>
              </w:tc>
              <w:tc>
                <w:tcPr>
                  <w:tcW w:w="1203"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0.045600</w:t>
                  </w:r>
                </w:p>
              </w:tc>
              <w:tc>
                <w:tcPr>
                  <w:tcW w:w="123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w:t>
                  </w:r>
                </w:p>
              </w:tc>
              <w:tc>
                <w:tcPr>
                  <w:tcW w:w="1268"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0.00</w:t>
                  </w:r>
                </w:p>
              </w:tc>
              <w:tc>
                <w:tcPr>
                  <w:tcW w:w="111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0.00</w:t>
                  </w:r>
                </w:p>
              </w:tc>
              <w:tc>
                <w:tcPr>
                  <w:tcW w:w="1087"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0.00</w:t>
                  </w:r>
                </w:p>
              </w:tc>
            </w:tr>
            <w:tr w:rsidR="006663ED" w:rsidRPr="00463E1A" w:rsidTr="00F8773C">
              <w:trPr>
                <w:trHeight w:val="283"/>
                <w:jc w:val="center"/>
              </w:trPr>
              <w:tc>
                <w:tcPr>
                  <w:tcW w:w="1037" w:type="dxa"/>
                  <w:tcBorders>
                    <w:lef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28/02/2019</w:t>
                  </w:r>
                </w:p>
              </w:tc>
              <w:tc>
                <w:tcPr>
                  <w:tcW w:w="926" w:type="dxa"/>
                  <w:vAlign w:val="center"/>
                </w:tcPr>
                <w:p w:rsidR="006663ED" w:rsidRPr="00463E1A" w:rsidRDefault="006663ED" w:rsidP="00F8773C">
                  <w:pPr>
                    <w:rPr>
                      <w:rFonts w:ascii="Times New Roman" w:hAnsi="Times New Roman"/>
                      <w:szCs w:val="22"/>
                      <w:lang w:val="en-US"/>
                    </w:rPr>
                  </w:pPr>
                  <w:r w:rsidRPr="00463E1A">
                    <w:rPr>
                      <w:rFonts w:ascii="Times New Roman" w:hAnsi="Times New Roman"/>
                      <w:szCs w:val="22"/>
                    </w:rPr>
                    <w:t>CONT</w:t>
                  </w:r>
                  <w:r w:rsidRPr="00463E1A">
                    <w:rPr>
                      <w:rFonts w:ascii="Times New Roman" w:hAnsi="Times New Roman"/>
                      <w:szCs w:val="22"/>
                      <w:lang w:val="en-US"/>
                    </w:rPr>
                    <w:t>#2</w:t>
                  </w:r>
                </w:p>
              </w:tc>
              <w:tc>
                <w:tcPr>
                  <w:tcW w:w="1089"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INST#2</w:t>
                  </w:r>
                </w:p>
              </w:tc>
              <w:tc>
                <w:tcPr>
                  <w:tcW w:w="1203"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0.032200</w:t>
                  </w:r>
                </w:p>
              </w:tc>
              <w:tc>
                <w:tcPr>
                  <w:tcW w:w="123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w:t>
                  </w:r>
                </w:p>
              </w:tc>
              <w:tc>
                <w:tcPr>
                  <w:tcW w:w="1268"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140 000.00</w:t>
                  </w:r>
                </w:p>
              </w:tc>
              <w:tc>
                <w:tcPr>
                  <w:tcW w:w="111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1 050.00</w:t>
                  </w:r>
                </w:p>
              </w:tc>
              <w:tc>
                <w:tcPr>
                  <w:tcW w:w="1087"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0.00</w:t>
                  </w:r>
                </w:p>
              </w:tc>
            </w:tr>
            <w:tr w:rsidR="006663ED" w:rsidRPr="00463E1A" w:rsidTr="00F8773C">
              <w:trPr>
                <w:trHeight w:val="283"/>
                <w:jc w:val="center"/>
              </w:trPr>
              <w:tc>
                <w:tcPr>
                  <w:tcW w:w="1037" w:type="dxa"/>
                  <w:tcBorders>
                    <w:left w:val="nil"/>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lastRenderedPageBreak/>
                    <w:t>31/03/2019</w:t>
                  </w:r>
                </w:p>
              </w:tc>
              <w:tc>
                <w:tcPr>
                  <w:tcW w:w="926" w:type="dxa"/>
                  <w:tcBorders>
                    <w:bottom w:val="single" w:sz="4" w:space="0" w:color="auto"/>
                  </w:tcBorders>
                  <w:vAlign w:val="center"/>
                </w:tcPr>
                <w:p w:rsidR="006663ED" w:rsidRPr="00463E1A" w:rsidRDefault="006663ED" w:rsidP="00F8773C">
                  <w:pPr>
                    <w:rPr>
                      <w:rFonts w:ascii="Times New Roman" w:hAnsi="Times New Roman"/>
                      <w:szCs w:val="22"/>
                      <w:lang w:val="en-US"/>
                    </w:rPr>
                  </w:pPr>
                  <w:r w:rsidRPr="00463E1A">
                    <w:rPr>
                      <w:rFonts w:ascii="Times New Roman" w:hAnsi="Times New Roman"/>
                      <w:szCs w:val="22"/>
                    </w:rPr>
                    <w:t>CONT</w:t>
                  </w:r>
                  <w:r w:rsidRPr="00463E1A">
                    <w:rPr>
                      <w:rFonts w:ascii="Times New Roman" w:hAnsi="Times New Roman"/>
                      <w:szCs w:val="22"/>
                      <w:lang w:val="en-US"/>
                    </w:rPr>
                    <w:t>#2</w:t>
                  </w:r>
                </w:p>
              </w:tc>
              <w:tc>
                <w:tcPr>
                  <w:tcW w:w="1089"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INST#2</w:t>
                  </w:r>
                </w:p>
              </w:tc>
              <w:tc>
                <w:tcPr>
                  <w:tcW w:w="1203"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0.032200</w:t>
                  </w:r>
                </w:p>
              </w:tc>
              <w:tc>
                <w:tcPr>
                  <w:tcW w:w="1236"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w:t>
                  </w:r>
                </w:p>
              </w:tc>
              <w:tc>
                <w:tcPr>
                  <w:tcW w:w="1268"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0.00</w:t>
                  </w:r>
                </w:p>
              </w:tc>
              <w:tc>
                <w:tcPr>
                  <w:tcW w:w="1116"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0.00</w:t>
                  </w:r>
                </w:p>
              </w:tc>
              <w:tc>
                <w:tcPr>
                  <w:tcW w:w="1087" w:type="dxa"/>
                  <w:tcBorders>
                    <w:bottom w:val="single" w:sz="4" w:space="0" w:color="auto"/>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0.00</w:t>
                  </w:r>
                </w:p>
              </w:tc>
            </w:tr>
            <w:tr w:rsidR="006663ED" w:rsidRPr="00463E1A" w:rsidTr="00F8773C">
              <w:trPr>
                <w:trHeight w:val="283"/>
                <w:jc w:val="center"/>
              </w:trPr>
              <w:tc>
                <w:tcPr>
                  <w:tcW w:w="8962" w:type="dxa"/>
                  <w:gridSpan w:val="8"/>
                  <w:tcBorders>
                    <w:left w:val="nil"/>
                    <w:righ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PANACR06 (</w:t>
                  </w:r>
                  <w:proofErr w:type="spellStart"/>
                  <w:r w:rsidRPr="00463E1A">
                    <w:rPr>
                      <w:rFonts w:ascii="Times New Roman" w:hAnsi="Times New Roman"/>
                      <w:b/>
                      <w:color w:val="4F81BD" w:themeColor="accent1"/>
                      <w:szCs w:val="22"/>
                    </w:rPr>
                    <w:t>Accounting</w:t>
                  </w:r>
                  <w:proofErr w:type="spellEnd"/>
                  <w:r w:rsidRPr="00463E1A">
                    <w:rPr>
                      <w:rFonts w:ascii="Times New Roman" w:hAnsi="Times New Roman"/>
                      <w:b/>
                      <w:color w:val="4F81BD" w:themeColor="accent1"/>
                      <w:szCs w:val="22"/>
                    </w:rPr>
                    <w:t>)</w:t>
                  </w:r>
                </w:p>
              </w:tc>
            </w:tr>
            <w:tr w:rsidR="006663ED" w:rsidRPr="00463E1A" w:rsidTr="00F8773C">
              <w:trPr>
                <w:trHeight w:val="454"/>
                <w:jc w:val="center"/>
              </w:trPr>
              <w:tc>
                <w:tcPr>
                  <w:tcW w:w="1037"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Referenční datum</w:t>
                  </w:r>
                </w:p>
              </w:tc>
              <w:tc>
                <w:tcPr>
                  <w:tcW w:w="92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kontraktu</w:t>
                  </w:r>
                </w:p>
              </w:tc>
              <w:tc>
                <w:tcPr>
                  <w:tcW w:w="1089"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instrumentu</w:t>
                  </w:r>
                </w:p>
              </w:tc>
              <w:tc>
                <w:tcPr>
                  <w:tcW w:w="1203"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w:t>
                  </w:r>
                </w:p>
              </w:tc>
              <w:tc>
                <w:tcPr>
                  <w:tcW w:w="123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Kumulované odpisy</w:t>
                  </w:r>
                </w:p>
              </w:tc>
              <w:tc>
                <w:tcPr>
                  <w:tcW w:w="1268"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Kumulované snížení hodnoty</w:t>
                  </w:r>
                </w:p>
              </w:tc>
              <w:tc>
                <w:tcPr>
                  <w:tcW w:w="111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Kumulované úhrady od selhání</w:t>
                  </w:r>
                </w:p>
              </w:tc>
              <w:tc>
                <w:tcPr>
                  <w:tcW w:w="1087" w:type="dxa"/>
                  <w:tcBorders>
                    <w:righ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Účetní hodnota</w:t>
                  </w:r>
                </w:p>
              </w:tc>
            </w:tr>
            <w:tr w:rsidR="006663ED" w:rsidRPr="00463E1A" w:rsidTr="00F8773C">
              <w:trPr>
                <w:trHeight w:val="340"/>
                <w:jc w:val="center"/>
              </w:trPr>
              <w:tc>
                <w:tcPr>
                  <w:tcW w:w="1037" w:type="dxa"/>
                  <w:tcBorders>
                    <w:lef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31/12/2018</w:t>
                  </w:r>
                </w:p>
              </w:tc>
              <w:tc>
                <w:tcPr>
                  <w:tcW w:w="926" w:type="dxa"/>
                  <w:vAlign w:val="center"/>
                </w:tcPr>
                <w:p w:rsidR="006663ED" w:rsidRPr="00463E1A" w:rsidRDefault="006663ED" w:rsidP="00F8773C">
                  <w:pPr>
                    <w:rPr>
                      <w:rFonts w:ascii="Times New Roman" w:hAnsi="Times New Roman"/>
                      <w:szCs w:val="22"/>
                      <w:lang w:val="en-US"/>
                    </w:rPr>
                  </w:pPr>
                  <w:r w:rsidRPr="00463E1A">
                    <w:rPr>
                      <w:rFonts w:ascii="Times New Roman" w:hAnsi="Times New Roman"/>
                      <w:szCs w:val="22"/>
                    </w:rPr>
                    <w:t>CONT</w:t>
                  </w:r>
                  <w:r w:rsidRPr="00463E1A">
                    <w:rPr>
                      <w:rFonts w:ascii="Times New Roman" w:hAnsi="Times New Roman"/>
                      <w:szCs w:val="22"/>
                      <w:lang w:val="en-US"/>
                    </w:rPr>
                    <w:t>#1</w:t>
                  </w:r>
                </w:p>
              </w:tc>
              <w:tc>
                <w:tcPr>
                  <w:tcW w:w="1089"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INST#1</w:t>
                  </w:r>
                </w:p>
              </w:tc>
              <w:tc>
                <w:tcPr>
                  <w:tcW w:w="1203"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w:t>
                  </w:r>
                </w:p>
              </w:tc>
              <w:tc>
                <w:tcPr>
                  <w:tcW w:w="123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0.00</w:t>
                  </w:r>
                </w:p>
              </w:tc>
              <w:tc>
                <w:tcPr>
                  <w:tcW w:w="1268"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10 000.00</w:t>
                  </w:r>
                </w:p>
              </w:tc>
              <w:tc>
                <w:tcPr>
                  <w:tcW w:w="111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0.00</w:t>
                  </w:r>
                </w:p>
              </w:tc>
              <w:tc>
                <w:tcPr>
                  <w:tcW w:w="1087"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90 750.00</w:t>
                  </w:r>
                </w:p>
              </w:tc>
            </w:tr>
            <w:tr w:rsidR="006663ED" w:rsidRPr="00463E1A" w:rsidTr="00F8773C">
              <w:trPr>
                <w:trHeight w:val="340"/>
                <w:jc w:val="center"/>
              </w:trPr>
              <w:tc>
                <w:tcPr>
                  <w:tcW w:w="1037" w:type="dxa"/>
                  <w:tcBorders>
                    <w:lef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31/12/2018</w:t>
                  </w:r>
                </w:p>
              </w:tc>
              <w:tc>
                <w:tcPr>
                  <w:tcW w:w="926" w:type="dxa"/>
                  <w:vAlign w:val="center"/>
                </w:tcPr>
                <w:p w:rsidR="006663ED" w:rsidRPr="00463E1A" w:rsidRDefault="006663ED" w:rsidP="00F8773C">
                  <w:pPr>
                    <w:rPr>
                      <w:rFonts w:ascii="Times New Roman" w:hAnsi="Times New Roman"/>
                      <w:szCs w:val="22"/>
                      <w:lang w:val="en-US"/>
                    </w:rPr>
                  </w:pPr>
                  <w:r w:rsidRPr="00463E1A">
                    <w:rPr>
                      <w:rFonts w:ascii="Times New Roman" w:hAnsi="Times New Roman"/>
                      <w:szCs w:val="22"/>
                    </w:rPr>
                    <w:t>CONT</w:t>
                  </w:r>
                  <w:r w:rsidRPr="00463E1A">
                    <w:rPr>
                      <w:rFonts w:ascii="Times New Roman" w:hAnsi="Times New Roman"/>
                      <w:szCs w:val="22"/>
                      <w:lang w:val="en-US"/>
                    </w:rPr>
                    <w:t>#2</w:t>
                  </w:r>
                </w:p>
              </w:tc>
              <w:tc>
                <w:tcPr>
                  <w:tcW w:w="1089"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INST#2</w:t>
                  </w:r>
                </w:p>
              </w:tc>
              <w:tc>
                <w:tcPr>
                  <w:tcW w:w="1203"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w:t>
                  </w:r>
                </w:p>
              </w:tc>
              <w:tc>
                <w:tcPr>
                  <w:tcW w:w="123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0.00</w:t>
                  </w:r>
                </w:p>
              </w:tc>
              <w:tc>
                <w:tcPr>
                  <w:tcW w:w="1268"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12 000.00</w:t>
                  </w:r>
                </w:p>
              </w:tc>
              <w:tc>
                <w:tcPr>
                  <w:tcW w:w="111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0.00</w:t>
                  </w:r>
                </w:p>
              </w:tc>
              <w:tc>
                <w:tcPr>
                  <w:tcW w:w="1087"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139 150.00</w:t>
                  </w:r>
                </w:p>
              </w:tc>
            </w:tr>
            <w:tr w:rsidR="006663ED" w:rsidRPr="00463E1A" w:rsidTr="00F8773C">
              <w:trPr>
                <w:trHeight w:val="340"/>
                <w:jc w:val="center"/>
              </w:trPr>
              <w:tc>
                <w:tcPr>
                  <w:tcW w:w="1037" w:type="dxa"/>
                  <w:tcBorders>
                    <w:left w:val="nil"/>
                    <w:bottom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31/03/2019</w:t>
                  </w:r>
                </w:p>
              </w:tc>
              <w:tc>
                <w:tcPr>
                  <w:tcW w:w="926" w:type="dxa"/>
                  <w:tcBorders>
                    <w:bottom w:val="nil"/>
                  </w:tcBorders>
                  <w:vAlign w:val="center"/>
                </w:tcPr>
                <w:p w:rsidR="006663ED" w:rsidRPr="00463E1A" w:rsidRDefault="006663ED" w:rsidP="00F8773C">
                  <w:pPr>
                    <w:rPr>
                      <w:rFonts w:ascii="Times New Roman" w:hAnsi="Times New Roman"/>
                      <w:szCs w:val="22"/>
                      <w:lang w:val="en-US"/>
                    </w:rPr>
                  </w:pPr>
                  <w:r w:rsidRPr="00463E1A">
                    <w:rPr>
                      <w:rFonts w:ascii="Times New Roman" w:hAnsi="Times New Roman"/>
                      <w:szCs w:val="22"/>
                    </w:rPr>
                    <w:t>CONT</w:t>
                  </w:r>
                  <w:r w:rsidRPr="00463E1A">
                    <w:rPr>
                      <w:rFonts w:ascii="Times New Roman" w:hAnsi="Times New Roman"/>
                      <w:szCs w:val="22"/>
                      <w:lang w:val="en-US"/>
                    </w:rPr>
                    <w:t>#2</w:t>
                  </w:r>
                </w:p>
              </w:tc>
              <w:tc>
                <w:tcPr>
                  <w:tcW w:w="1089" w:type="dxa"/>
                  <w:tcBorders>
                    <w:bottom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INST#2</w:t>
                  </w:r>
                </w:p>
              </w:tc>
              <w:tc>
                <w:tcPr>
                  <w:tcW w:w="1203" w:type="dxa"/>
                  <w:tcBorders>
                    <w:bottom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w:t>
                  </w:r>
                </w:p>
              </w:tc>
              <w:tc>
                <w:tcPr>
                  <w:tcW w:w="1236" w:type="dxa"/>
                  <w:tcBorders>
                    <w:bottom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0.00</w:t>
                  </w:r>
                </w:p>
              </w:tc>
              <w:tc>
                <w:tcPr>
                  <w:tcW w:w="1268" w:type="dxa"/>
                  <w:tcBorders>
                    <w:bottom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0.00</w:t>
                  </w:r>
                </w:p>
              </w:tc>
              <w:tc>
                <w:tcPr>
                  <w:tcW w:w="1116" w:type="dxa"/>
                  <w:tcBorders>
                    <w:bottom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0.00</w:t>
                  </w:r>
                </w:p>
              </w:tc>
              <w:tc>
                <w:tcPr>
                  <w:tcW w:w="1087" w:type="dxa"/>
                  <w:tcBorders>
                    <w:bottom w:val="nil"/>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0.00</w:t>
                  </w:r>
                </w:p>
              </w:tc>
            </w:tr>
          </w:tbl>
          <w:p w:rsidR="006663ED" w:rsidRPr="00463E1A" w:rsidRDefault="006663ED" w:rsidP="00F8773C">
            <w:pPr>
              <w:spacing w:after="120"/>
              <w:rPr>
                <w:rFonts w:ascii="Times New Roman" w:hAnsi="Times New Roman"/>
                <w:szCs w:val="22"/>
              </w:rPr>
            </w:pPr>
          </w:p>
        </w:tc>
      </w:tr>
    </w:tbl>
    <w:p w:rsidR="006663ED" w:rsidRPr="00463E1A" w:rsidRDefault="006663ED" w:rsidP="006663ED">
      <w:pPr>
        <w:jc w:val="both"/>
        <w:rPr>
          <w:szCs w:val="22"/>
        </w:rPr>
      </w:pPr>
    </w:p>
    <w:p w:rsidR="006663ED" w:rsidRPr="00463E1A" w:rsidRDefault="006663ED" w:rsidP="006663ED">
      <w:pPr>
        <w:spacing w:after="120"/>
        <w:jc w:val="both"/>
        <w:rPr>
          <w:szCs w:val="22"/>
        </w:rPr>
      </w:pPr>
      <w:r w:rsidRPr="00463E1A">
        <w:rPr>
          <w:szCs w:val="22"/>
        </w:rPr>
        <w:t>Vzhledem k tomu, že vykazování ukončených instrumentů musí splňovat určitá pravidla, účelem tohoto manuálu je poskytnout vykazujícím subjektům návod, jak v takovýchto případech reportovat jednotlivé atributy. Jelikož je v rámci národního rozšíření požadován i reporting podrozvahových položek, v následujícím textu jsou rozlišovány instrumenty podle tohoto kritéria, tj. Příklad 2 popisuje rozvahové instrumenty a Příklad 3 podrozvahové instrumenty.</w:t>
      </w:r>
    </w:p>
    <w:p w:rsidR="006663ED" w:rsidRPr="00463E1A" w:rsidRDefault="006663ED" w:rsidP="006663ED">
      <w:pPr>
        <w:spacing w:after="120"/>
        <w:jc w:val="both"/>
        <w:rPr>
          <w:szCs w:val="22"/>
        </w:rPr>
      </w:pPr>
      <w:r w:rsidRPr="00463E1A">
        <w:rPr>
          <w:szCs w:val="22"/>
        </w:rPr>
        <w:t>Cílem ČNB je koncipovat reporting ukončených instrumentů tak, aby zátěž pro vykazující subjekty byla minimální a samotné vykazování dávalo smysl z věcného pohledu. V následujících tabulkách, které odpovídají jednotlivým výkazům v rámci AnaCredit, je názorná ukázka vykazování instrumentu ve dvou po sobě jdoucích obdobích, přičemž ve druhém období dochází k ukončení instrumentu. Pro zachycení kompletní množiny atributů předpokládáme, že k ukončení instrumentu dochází v měsíci, který je zároveň čtvrtletím. Pro měsíce, které nejsou zároveň čtvrtletím, je princip totožný s tím rozdílem, že nejsou reportovány výkazy PANACR06 (</w:t>
      </w:r>
      <w:proofErr w:type="spellStart"/>
      <w:r w:rsidRPr="00463E1A">
        <w:rPr>
          <w:szCs w:val="22"/>
        </w:rPr>
        <w:t>Accounting</w:t>
      </w:r>
      <w:proofErr w:type="spellEnd"/>
      <w:r w:rsidRPr="00463E1A">
        <w:rPr>
          <w:szCs w:val="22"/>
        </w:rPr>
        <w:t>) a PANACR22 (</w:t>
      </w:r>
      <w:proofErr w:type="spellStart"/>
      <w:r w:rsidRPr="00463E1A">
        <w:rPr>
          <w:szCs w:val="22"/>
        </w:rPr>
        <w:t>Credit</w:t>
      </w:r>
      <w:proofErr w:type="spellEnd"/>
      <w:r w:rsidRPr="00463E1A">
        <w:rPr>
          <w:szCs w:val="22"/>
        </w:rPr>
        <w:t xml:space="preserve"> risk). Veškerá specifika spojená s daným atributem jsou uvedena v poznámce. V tabulce níže jsou použity následující univerzální výrazy, které však nepředstavují konkrétní datové typy v AnaCredit:</w:t>
      </w:r>
    </w:p>
    <w:p w:rsidR="006663ED" w:rsidRPr="00463E1A" w:rsidRDefault="006663ED" w:rsidP="006663ED">
      <w:pPr>
        <w:jc w:val="both"/>
        <w:rPr>
          <w:szCs w:val="22"/>
        </w:rPr>
      </w:pPr>
      <w:r w:rsidRPr="00463E1A">
        <w:rPr>
          <w:b/>
          <w:szCs w:val="22"/>
        </w:rPr>
        <w:t>Výraz</w:t>
      </w:r>
      <w:r w:rsidRPr="00463E1A">
        <w:rPr>
          <w:szCs w:val="22"/>
        </w:rPr>
        <w:tab/>
      </w:r>
      <w:r w:rsidRPr="00463E1A">
        <w:rPr>
          <w:szCs w:val="22"/>
        </w:rPr>
        <w:tab/>
      </w:r>
      <w:r w:rsidRPr="00463E1A">
        <w:rPr>
          <w:szCs w:val="22"/>
        </w:rPr>
        <w:tab/>
      </w:r>
      <w:r w:rsidRPr="00463E1A">
        <w:rPr>
          <w:b/>
          <w:szCs w:val="22"/>
        </w:rPr>
        <w:t>Význam</w:t>
      </w:r>
    </w:p>
    <w:p w:rsidR="006663ED" w:rsidRPr="00463E1A" w:rsidRDefault="006663ED" w:rsidP="006663ED">
      <w:pPr>
        <w:jc w:val="both"/>
        <w:rPr>
          <w:szCs w:val="22"/>
        </w:rPr>
      </w:pPr>
      <w:proofErr w:type="spellStart"/>
      <w:r w:rsidRPr="00463E1A">
        <w:rPr>
          <w:szCs w:val="22"/>
        </w:rPr>
        <w:t>value</w:t>
      </w:r>
      <w:proofErr w:type="spellEnd"/>
      <w:r w:rsidRPr="00463E1A">
        <w:rPr>
          <w:szCs w:val="22"/>
        </w:rPr>
        <w:tab/>
      </w:r>
      <w:r w:rsidRPr="00463E1A">
        <w:rPr>
          <w:szCs w:val="22"/>
        </w:rPr>
        <w:tab/>
      </w:r>
      <w:r w:rsidRPr="00463E1A">
        <w:rPr>
          <w:szCs w:val="22"/>
        </w:rPr>
        <w:tab/>
        <w:t>Hodnota z číselníku</w:t>
      </w:r>
    </w:p>
    <w:p w:rsidR="006663ED" w:rsidRPr="00463E1A" w:rsidRDefault="006663ED" w:rsidP="006663ED">
      <w:pPr>
        <w:jc w:val="both"/>
        <w:rPr>
          <w:szCs w:val="22"/>
        </w:rPr>
      </w:pPr>
      <w:proofErr w:type="spellStart"/>
      <w:r w:rsidRPr="00463E1A">
        <w:rPr>
          <w:szCs w:val="22"/>
        </w:rPr>
        <w:t>dd.mm.yyyy</w:t>
      </w:r>
      <w:proofErr w:type="spellEnd"/>
      <w:r w:rsidRPr="00463E1A">
        <w:rPr>
          <w:szCs w:val="22"/>
        </w:rPr>
        <w:tab/>
      </w:r>
      <w:r w:rsidRPr="00463E1A">
        <w:rPr>
          <w:szCs w:val="22"/>
        </w:rPr>
        <w:tab/>
        <w:t>Datum ve stanoveném formátu</w:t>
      </w:r>
    </w:p>
    <w:p w:rsidR="006663ED" w:rsidRPr="00463E1A" w:rsidRDefault="006663ED" w:rsidP="006663ED">
      <w:pPr>
        <w:jc w:val="both"/>
        <w:rPr>
          <w:szCs w:val="22"/>
        </w:rPr>
      </w:pPr>
      <w:r w:rsidRPr="00463E1A">
        <w:rPr>
          <w:szCs w:val="22"/>
        </w:rPr>
        <w:t>x</w:t>
      </w:r>
      <w:r w:rsidRPr="00463E1A">
        <w:rPr>
          <w:szCs w:val="22"/>
        </w:rPr>
        <w:tab/>
      </w:r>
      <w:r w:rsidRPr="00463E1A">
        <w:rPr>
          <w:szCs w:val="22"/>
        </w:rPr>
        <w:tab/>
      </w:r>
      <w:r w:rsidRPr="00463E1A">
        <w:rPr>
          <w:szCs w:val="22"/>
        </w:rPr>
        <w:tab/>
        <w:t>Zástupný znak pro číslo (většinou v kombinaci s desetinnou čárkou)</w:t>
      </w:r>
    </w:p>
    <w:p w:rsidR="006663ED" w:rsidRPr="00463E1A" w:rsidRDefault="006663ED" w:rsidP="006663ED">
      <w:pPr>
        <w:jc w:val="both"/>
        <w:rPr>
          <w:szCs w:val="22"/>
        </w:rPr>
      </w:pPr>
      <w:r w:rsidRPr="00463E1A">
        <w:rPr>
          <w:szCs w:val="22"/>
        </w:rPr>
        <w:t>NTAP</w:t>
      </w:r>
      <w:r w:rsidRPr="00463E1A">
        <w:rPr>
          <w:szCs w:val="22"/>
        </w:rPr>
        <w:tab/>
      </w:r>
      <w:r w:rsidRPr="00463E1A">
        <w:rPr>
          <w:szCs w:val="22"/>
        </w:rPr>
        <w:tab/>
      </w:r>
      <w:r w:rsidRPr="00463E1A">
        <w:rPr>
          <w:szCs w:val="22"/>
        </w:rPr>
        <w:tab/>
        <w:t xml:space="preserve">Not </w:t>
      </w:r>
      <w:proofErr w:type="spellStart"/>
      <w:r w:rsidRPr="00463E1A">
        <w:rPr>
          <w:szCs w:val="22"/>
        </w:rPr>
        <w:t>applicable</w:t>
      </w:r>
      <w:proofErr w:type="spellEnd"/>
    </w:p>
    <w:p w:rsidR="006663ED" w:rsidRPr="00463E1A" w:rsidRDefault="006663ED" w:rsidP="006663ED">
      <w:pPr>
        <w:jc w:val="both"/>
        <w:rPr>
          <w:szCs w:val="22"/>
        </w:rPr>
      </w:pPr>
      <w:proofErr w:type="spellStart"/>
      <w:r w:rsidRPr="00463E1A">
        <w:rPr>
          <w:szCs w:val="22"/>
        </w:rPr>
        <w:t>String</w:t>
      </w:r>
      <w:proofErr w:type="spellEnd"/>
      <w:r w:rsidRPr="00463E1A">
        <w:rPr>
          <w:szCs w:val="22"/>
        </w:rPr>
        <w:tab/>
      </w:r>
      <w:r w:rsidRPr="00463E1A">
        <w:rPr>
          <w:szCs w:val="22"/>
        </w:rPr>
        <w:tab/>
      </w:r>
      <w:r w:rsidRPr="00463E1A">
        <w:rPr>
          <w:szCs w:val="22"/>
        </w:rPr>
        <w:tab/>
        <w:t>Kombinace alfanumerických znaků</w:t>
      </w:r>
    </w:p>
    <w:p w:rsidR="006663ED" w:rsidRPr="00463E1A" w:rsidRDefault="006663ED" w:rsidP="006663ED">
      <w:pPr>
        <w:spacing w:after="240"/>
        <w:jc w:val="both"/>
        <w:rPr>
          <w:szCs w:val="22"/>
        </w:rPr>
      </w:pPr>
      <w:r w:rsidRPr="00463E1A">
        <w:rPr>
          <w:szCs w:val="22"/>
        </w:rPr>
        <w:t>RIAD-IDK</w:t>
      </w:r>
      <w:r w:rsidRPr="00463E1A">
        <w:rPr>
          <w:szCs w:val="22"/>
        </w:rPr>
        <w:tab/>
      </w:r>
      <w:r w:rsidRPr="00463E1A">
        <w:rPr>
          <w:szCs w:val="22"/>
        </w:rPr>
        <w:tab/>
        <w:t>Identifikátor protistrany získaný prostřednictvím RIAD</w:t>
      </w:r>
    </w:p>
    <w:p w:rsidR="006663ED" w:rsidRPr="00463E1A" w:rsidRDefault="002E7506" w:rsidP="002E7506">
      <w:pPr>
        <w:pStyle w:val="Heading2"/>
        <w:rPr>
          <w:rFonts w:ascii="Times New Roman" w:hAnsi="Times New Roman"/>
        </w:rPr>
      </w:pPr>
      <w:r w:rsidRPr="00463E1A">
        <w:rPr>
          <w:rFonts w:ascii="Times New Roman" w:hAnsi="Times New Roman"/>
        </w:rPr>
        <w:br w:type="column"/>
      </w:r>
      <w:bookmarkStart w:id="38" w:name="_Toc270687"/>
      <w:bookmarkStart w:id="39" w:name="_Toc769535"/>
      <w:r w:rsidR="006663ED" w:rsidRPr="00463E1A">
        <w:rPr>
          <w:rFonts w:ascii="Times New Roman" w:hAnsi="Times New Roman"/>
        </w:rPr>
        <w:lastRenderedPageBreak/>
        <w:t>Rozvahové instrumenty</w:t>
      </w:r>
      <w:bookmarkEnd w:id="38"/>
      <w:bookmarkEnd w:id="39"/>
    </w:p>
    <w:p w:rsidR="002E7506" w:rsidRPr="00463E1A" w:rsidRDefault="002E7506" w:rsidP="002E7506">
      <w:pPr>
        <w:rPr>
          <w:szCs w:val="22"/>
        </w:rPr>
      </w:pPr>
    </w:p>
    <w:tbl>
      <w:tblPr>
        <w:tblStyle w:val="TableGrid"/>
        <w:tblW w:w="9693" w:type="dxa"/>
        <w:jc w:val="center"/>
        <w:tblInd w:w="-896" w:type="dxa"/>
        <w:tblBorders>
          <w:top w:val="none" w:sz="0" w:space="0" w:color="auto"/>
          <w:bottom w:val="none" w:sz="0" w:space="0" w:color="auto"/>
        </w:tblBorders>
        <w:shd w:val="clear" w:color="auto" w:fill="FFFFFF" w:themeFill="background1"/>
        <w:tblLook w:val="04A0" w:firstRow="1" w:lastRow="0" w:firstColumn="1" w:lastColumn="0" w:noHBand="0" w:noVBand="1"/>
      </w:tblPr>
      <w:tblGrid>
        <w:gridCol w:w="9693"/>
      </w:tblGrid>
      <w:tr w:rsidR="006663ED" w:rsidRPr="00463E1A" w:rsidTr="00463E1A">
        <w:trPr>
          <w:trHeight w:val="397"/>
          <w:jc w:val="center"/>
        </w:trPr>
        <w:tc>
          <w:tcPr>
            <w:tcW w:w="9693" w:type="dxa"/>
            <w:shd w:val="clear" w:color="auto" w:fill="FFFFFF" w:themeFill="background1"/>
            <w:vAlign w:val="center"/>
          </w:tcPr>
          <w:p w:rsidR="006663ED" w:rsidRPr="00463E1A" w:rsidRDefault="006663ED" w:rsidP="00F8773C">
            <w:pPr>
              <w:rPr>
                <w:rFonts w:ascii="Times New Roman" w:hAnsi="Times New Roman"/>
                <w:b/>
                <w:szCs w:val="22"/>
              </w:rPr>
            </w:pPr>
            <w:r w:rsidRPr="00463E1A">
              <w:rPr>
                <w:rFonts w:ascii="Times New Roman" w:hAnsi="Times New Roman"/>
                <w:b/>
                <w:color w:val="4F81BD" w:themeColor="accent1"/>
                <w:szCs w:val="22"/>
              </w:rPr>
              <w:t>Příklad 2</w:t>
            </w:r>
          </w:p>
        </w:tc>
      </w:tr>
      <w:tr w:rsidR="006663ED" w:rsidRPr="00463E1A" w:rsidTr="00463E1A">
        <w:trPr>
          <w:trHeight w:val="1531"/>
          <w:jc w:val="center"/>
        </w:trPr>
        <w:tc>
          <w:tcPr>
            <w:tcW w:w="9693" w:type="dxa"/>
            <w:shd w:val="clear" w:color="auto" w:fill="FFFFFF" w:themeFill="background1"/>
            <w:vAlign w:val="center"/>
          </w:tcPr>
          <w:p w:rsidR="006663ED" w:rsidRPr="00463E1A" w:rsidRDefault="006663ED" w:rsidP="00F8773C">
            <w:pPr>
              <w:spacing w:before="120" w:after="240"/>
              <w:jc w:val="both"/>
              <w:rPr>
                <w:rFonts w:ascii="Times New Roman" w:hAnsi="Times New Roman"/>
                <w:szCs w:val="22"/>
              </w:rPr>
            </w:pPr>
            <w:r w:rsidRPr="00463E1A">
              <w:rPr>
                <w:rFonts w:ascii="Times New Roman" w:hAnsi="Times New Roman"/>
                <w:szCs w:val="22"/>
              </w:rPr>
              <w:t>Ilustrativní příklad znázorňuje, jakým způsobem jsou reportovány jednotlivé výkazy v případě, že dochází k ukončení instrumentu v rozvaze. Pro účely tohoto příkladu představuje období (T-1) referenční datum 28/02/2019 a období (T) referenční datum 31/03/2019. Zároveň je pro názornou ukázku vykazování čtvrtletních výkazů použito období (T-3), což představuje referenční období 31/12/2018. Pro zlepšení přehlednosti a orientace nepředstavuje příklad níže reálný reporting (některé kódy jsou nahrazeny konkrétními hodnotami).</w:t>
            </w:r>
          </w:p>
          <w:p w:rsidR="006663ED" w:rsidRPr="00463E1A" w:rsidRDefault="006663ED" w:rsidP="00F8773C">
            <w:pPr>
              <w:spacing w:before="240" w:after="120"/>
              <w:jc w:val="both"/>
              <w:rPr>
                <w:rFonts w:ascii="Times New Roman" w:hAnsi="Times New Roman"/>
                <w:szCs w:val="22"/>
              </w:rPr>
            </w:pPr>
            <w:r w:rsidRPr="00463E1A">
              <w:rPr>
                <w:rFonts w:ascii="Times New Roman" w:hAnsi="Times New Roman"/>
                <w:szCs w:val="22"/>
              </w:rPr>
              <w:t>Výkaz PANACR02 je tzv. statický výkaz, což znamená, že většina zachycených informací se v průběhu života instrumentu vůbec nemění (v některých případech ani nesmí měnit) a jsou konstantní napříč jednotlivými referenčními obdobími. V případě ukončených instrumentů je nezbytné v PANACR02 změnit vždy atribut „Stav instrumentu“, který indikuje tuto skutečnost.</w:t>
            </w:r>
          </w:p>
          <w:tbl>
            <w:tblPr>
              <w:tblStyle w:val="TableGrid"/>
              <w:tblW w:w="9457" w:type="dxa"/>
              <w:jc w:val="center"/>
              <w:tblLook w:val="04A0" w:firstRow="1" w:lastRow="0" w:firstColumn="1" w:lastColumn="0" w:noHBand="0" w:noVBand="1"/>
            </w:tblPr>
            <w:tblGrid>
              <w:gridCol w:w="2185"/>
              <w:gridCol w:w="1486"/>
              <w:gridCol w:w="1486"/>
              <w:gridCol w:w="4300"/>
            </w:tblGrid>
            <w:tr w:rsidR="006663ED" w:rsidRPr="00463E1A" w:rsidTr="00F8773C">
              <w:trPr>
                <w:jc w:val="center"/>
              </w:trPr>
              <w:tc>
                <w:tcPr>
                  <w:tcW w:w="9457" w:type="dxa"/>
                  <w:gridSpan w:val="4"/>
                  <w:tcBorders>
                    <w:left w:val="nil"/>
                    <w:right w:val="nil"/>
                  </w:tcBorders>
                  <w:vAlign w:val="center"/>
                </w:tcPr>
                <w:p w:rsidR="006663ED" w:rsidRPr="00463E1A" w:rsidRDefault="006663ED" w:rsidP="00F8773C">
                  <w:pPr>
                    <w:rPr>
                      <w:rFonts w:ascii="Times New Roman" w:hAnsi="Times New Roman"/>
                      <w:b/>
                      <w:color w:val="4F81BD" w:themeColor="accent1"/>
                      <w:szCs w:val="22"/>
                      <w:lang w:val="en-GB"/>
                    </w:rPr>
                  </w:pPr>
                  <w:r w:rsidRPr="00463E1A">
                    <w:rPr>
                      <w:rFonts w:ascii="Times New Roman" w:hAnsi="Times New Roman"/>
                      <w:b/>
                      <w:color w:val="4F81BD" w:themeColor="accent1"/>
                      <w:szCs w:val="22"/>
                      <w:lang w:val="en-GB"/>
                    </w:rPr>
                    <w:t>PANACR02 (Instrument)</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Atribut</w:t>
                  </w:r>
                </w:p>
              </w:tc>
              <w:tc>
                <w:tcPr>
                  <w:tcW w:w="148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(T-1)</w:t>
                  </w:r>
                </w:p>
              </w:tc>
              <w:tc>
                <w:tcPr>
                  <w:tcW w:w="148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w:t>
                  </w:r>
                </w:p>
              </w:tc>
              <w:tc>
                <w:tcPr>
                  <w:tcW w:w="4300" w:type="dxa"/>
                  <w:tcBorders>
                    <w:righ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Poznámka</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sledovaného subjektu</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4300" w:type="dxa"/>
                  <w:tcBorders>
                    <w:right w:val="nil"/>
                  </w:tcBorders>
                  <w:vAlign w:val="center"/>
                </w:tcPr>
                <w:p w:rsidR="006663ED" w:rsidRPr="00463E1A" w:rsidRDefault="006663ED" w:rsidP="00F8773C">
                  <w:pPr>
                    <w:jc w:val="both"/>
                    <w:rPr>
                      <w:rFonts w:ascii="Times New Roman" w:hAnsi="Times New Roman"/>
                      <w:b/>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kontraktu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bottom w:val="single" w:sz="4" w:space="0" w:color="auto"/>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instrumentu</w:t>
                  </w:r>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bottom w:val="single" w:sz="4" w:space="0" w:color="auto"/>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Typ instrumentu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Úvěr na projektové financování</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Měna</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Datum vzniku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dd.mm.yyyy</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dd.mm.yyyy</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bottom w:val="single" w:sz="4" w:space="0" w:color="auto"/>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Datum vypořádání</w:t>
                  </w:r>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dd.mm.yyyy</w:t>
                  </w:r>
                  <w:proofErr w:type="spellEnd"/>
                  <w:r w:rsidRPr="00463E1A">
                    <w:rPr>
                      <w:rFonts w:ascii="Times New Roman" w:hAnsi="Times New Roman"/>
                      <w:szCs w:val="22"/>
                    </w:rPr>
                    <w:t xml:space="preserve"> OR NTAP</w:t>
                  </w:r>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dd.mm.yyyy</w:t>
                  </w:r>
                  <w:proofErr w:type="spellEnd"/>
                  <w:r w:rsidRPr="00463E1A">
                    <w:rPr>
                      <w:rFonts w:ascii="Times New Roman" w:hAnsi="Times New Roman"/>
                      <w:szCs w:val="22"/>
                    </w:rPr>
                    <w:t xml:space="preserve"> OR NTAP</w:t>
                  </w:r>
                </w:p>
              </w:tc>
              <w:tc>
                <w:tcPr>
                  <w:tcW w:w="4300" w:type="dxa"/>
                  <w:tcBorders>
                    <w:bottom w:val="single" w:sz="4" w:space="0" w:color="auto"/>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 xml:space="preserve">Atribut se nemění. </w:t>
                  </w:r>
                  <w:r w:rsidRPr="00463E1A">
                    <w:rPr>
                      <w:rFonts w:ascii="Times New Roman" w:hAnsi="Times New Roman"/>
                      <w:szCs w:val="22"/>
                    </w:rPr>
                    <w:t>Datum vypořádání je v podstatě datum prvního čerpání. Pokud u daného instrumentu neproběhlo žádné čerpání, potom je vykázána hodnota „NTAP“. V období (T) bude vykázána hodnota „NTAP“ pouze v případě, že atribut „Stav instrumentu“ nabývá hodnoty „Pohledávka ukončená bez čerpání“.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Smluvní datum splatnosti</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dd.mm.yyyy</w:t>
                  </w:r>
                  <w:proofErr w:type="spellEnd"/>
                  <w:r w:rsidRPr="00463E1A">
                    <w:rPr>
                      <w:rFonts w:ascii="Times New Roman" w:hAnsi="Times New Roman"/>
                      <w:szCs w:val="22"/>
                    </w:rPr>
                    <w:t xml:space="preserve"> OR NTAP</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dd.mm.yyyy</w:t>
                  </w:r>
                  <w:proofErr w:type="spellEnd"/>
                  <w:r w:rsidRPr="00463E1A">
                    <w:rPr>
                      <w:rFonts w:ascii="Times New Roman" w:hAnsi="Times New Roman"/>
                      <w:szCs w:val="22"/>
                    </w:rPr>
                    <w:t xml:space="preserve"> OR NTAP</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 xml:space="preserve">Atribut se nemění. </w:t>
                  </w:r>
                  <w:r w:rsidRPr="00463E1A">
                    <w:rPr>
                      <w:rFonts w:ascii="Times New Roman" w:hAnsi="Times New Roman"/>
                      <w:szCs w:val="22"/>
                    </w:rPr>
                    <w:t>Hodnota „NTAP“ je vykazována např. pro nepovolené debety.</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Rekurs</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Typ úrokové sazby</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r w:rsidRPr="00463E1A">
                    <w:rPr>
                      <w:rFonts w:ascii="Times New Roman" w:hAnsi="Times New Roman"/>
                      <w:szCs w:val="22"/>
                    </w:rPr>
                    <w:t xml:space="preserve"> OR NTAP</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r w:rsidRPr="00463E1A">
                    <w:rPr>
                      <w:rFonts w:ascii="Times New Roman" w:hAnsi="Times New Roman"/>
                      <w:szCs w:val="22"/>
                    </w:rPr>
                    <w:t xml:space="preserve"> OR NTAP</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Frekvence přenastavení úrokové sazby</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r w:rsidRPr="00463E1A">
                    <w:rPr>
                      <w:rFonts w:ascii="Times New Roman" w:hAnsi="Times New Roman"/>
                      <w:szCs w:val="22"/>
                    </w:rPr>
                    <w:t xml:space="preserve"> OR NTAP</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r w:rsidRPr="00463E1A">
                    <w:rPr>
                      <w:rFonts w:ascii="Times New Roman" w:hAnsi="Times New Roman"/>
                      <w:szCs w:val="22"/>
                    </w:rPr>
                    <w:t xml:space="preserve"> OR NTAP</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 xml:space="preserve">Atribut se nemění. </w:t>
                  </w:r>
                  <w:r w:rsidRPr="00463E1A">
                    <w:rPr>
                      <w:rFonts w:ascii="Times New Roman" w:hAnsi="Times New Roman"/>
                      <w:szCs w:val="22"/>
                    </w:rPr>
                    <w:t>Hodnota „NTAP“ je reportována v případech, kdy žádné přenastavení úrokové sazby není v kontraktu uvažováno.</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Datum konce období, kdy se platí pouze úroky</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dd.mm.yyyy</w:t>
                  </w:r>
                  <w:proofErr w:type="spellEnd"/>
                  <w:r w:rsidRPr="00463E1A">
                    <w:rPr>
                      <w:rFonts w:ascii="Times New Roman" w:hAnsi="Times New Roman"/>
                      <w:szCs w:val="22"/>
                    </w:rPr>
                    <w:t xml:space="preserve"> OR NTAP</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dd.mm.yyyy</w:t>
                  </w:r>
                  <w:proofErr w:type="spellEnd"/>
                  <w:r w:rsidRPr="00463E1A">
                    <w:rPr>
                      <w:rFonts w:ascii="Times New Roman" w:hAnsi="Times New Roman"/>
                      <w:szCs w:val="22"/>
                    </w:rPr>
                    <w:t xml:space="preserve"> OR NTAP</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Referenční sazba</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r w:rsidRPr="00463E1A">
                    <w:rPr>
                      <w:rFonts w:ascii="Times New Roman" w:hAnsi="Times New Roman"/>
                      <w:szCs w:val="22"/>
                    </w:rPr>
                    <w:t xml:space="preserve"> OR NTAP</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r w:rsidRPr="00463E1A">
                    <w:rPr>
                      <w:rFonts w:ascii="Times New Roman" w:hAnsi="Times New Roman"/>
                      <w:szCs w:val="22"/>
                    </w:rPr>
                    <w:t xml:space="preserve"> OR NTAP</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Rozpětí/marže úrokové sazby</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x.xxxxxx</w:t>
                  </w:r>
                  <w:proofErr w:type="spellEnd"/>
                  <w:r w:rsidRPr="00463E1A">
                    <w:rPr>
                      <w:rFonts w:ascii="Times New Roman" w:hAnsi="Times New Roman"/>
                      <w:szCs w:val="22"/>
                    </w:rPr>
                    <w:t xml:space="preserve"> OR NTAP</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x.xxxxxx</w:t>
                  </w:r>
                  <w:proofErr w:type="spellEnd"/>
                  <w:r w:rsidRPr="00463E1A">
                    <w:rPr>
                      <w:rFonts w:ascii="Times New Roman" w:hAnsi="Times New Roman"/>
                      <w:szCs w:val="22"/>
                    </w:rPr>
                    <w:t xml:space="preserve"> OR NTAP</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bottom w:val="single" w:sz="4" w:space="0" w:color="auto"/>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lastRenderedPageBreak/>
                    <w:t>Horní hranice úrokové sazby</w:t>
                  </w:r>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x.xxxxxx</w:t>
                  </w:r>
                  <w:proofErr w:type="spellEnd"/>
                  <w:r w:rsidRPr="00463E1A">
                    <w:rPr>
                      <w:rFonts w:ascii="Times New Roman" w:hAnsi="Times New Roman"/>
                      <w:szCs w:val="22"/>
                    </w:rPr>
                    <w:t xml:space="preserve"> OR NTAP</w:t>
                  </w:r>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x.xxxxxx</w:t>
                  </w:r>
                  <w:proofErr w:type="spellEnd"/>
                  <w:r w:rsidRPr="00463E1A">
                    <w:rPr>
                      <w:rFonts w:ascii="Times New Roman" w:hAnsi="Times New Roman"/>
                      <w:szCs w:val="22"/>
                    </w:rPr>
                    <w:t xml:space="preserve"> OR NTAP</w:t>
                  </w:r>
                </w:p>
              </w:tc>
              <w:tc>
                <w:tcPr>
                  <w:tcW w:w="4300" w:type="dxa"/>
                  <w:tcBorders>
                    <w:bottom w:val="single" w:sz="4" w:space="0" w:color="auto"/>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Dolní hranice úrokové sazby</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x.xxxxxx</w:t>
                  </w:r>
                  <w:proofErr w:type="spellEnd"/>
                  <w:r w:rsidRPr="00463E1A">
                    <w:rPr>
                      <w:rFonts w:ascii="Times New Roman" w:hAnsi="Times New Roman"/>
                      <w:szCs w:val="22"/>
                    </w:rPr>
                    <w:t xml:space="preserve"> OR NTAP</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x.xxxxxx</w:t>
                  </w:r>
                  <w:proofErr w:type="spellEnd"/>
                  <w:r w:rsidRPr="00463E1A">
                    <w:rPr>
                      <w:rFonts w:ascii="Times New Roman" w:hAnsi="Times New Roman"/>
                      <w:szCs w:val="22"/>
                    </w:rPr>
                    <w:t xml:space="preserve"> OR NTAP</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Účel instrumentu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Způsob umořování dluhu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Četnost splátek</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syndikovaného úvěru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r w:rsidRPr="00463E1A">
                    <w:rPr>
                      <w:rFonts w:ascii="Times New Roman" w:hAnsi="Times New Roman"/>
                      <w:szCs w:val="22"/>
                    </w:rPr>
                    <w:t xml:space="preserve"> OR NTAP</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r w:rsidRPr="00463E1A">
                    <w:rPr>
                      <w:rFonts w:ascii="Times New Roman" w:hAnsi="Times New Roman"/>
                      <w:szCs w:val="22"/>
                    </w:rPr>
                    <w:t xml:space="preserve"> OR NTAP</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Podřízený dluh</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Práva na splacení</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Fiduciární instrument</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Výše závazku při vzniku instrumentu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r w:rsidRPr="00463E1A">
                    <w:rPr>
                      <w:rFonts w:ascii="Times New Roman" w:hAnsi="Times New Roman"/>
                      <w:szCs w:val="22"/>
                    </w:rPr>
                    <w:t xml:space="preserve"> OR NTAP</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r w:rsidRPr="00463E1A">
                    <w:rPr>
                      <w:rFonts w:ascii="Times New Roman" w:hAnsi="Times New Roman"/>
                      <w:szCs w:val="22"/>
                    </w:rPr>
                    <w:t xml:space="preserve"> OR NTAP</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Změny reálné hodnoty v důsledku změny úvěrového rizika před nákupem instrumentu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r w:rsidRPr="00463E1A">
                    <w:rPr>
                      <w:rFonts w:ascii="Times New Roman" w:hAnsi="Times New Roman"/>
                      <w:szCs w:val="22"/>
                    </w:rPr>
                    <w:t xml:space="preserve"> OR NTAP</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r w:rsidRPr="00463E1A">
                    <w:rPr>
                      <w:rFonts w:ascii="Times New Roman" w:hAnsi="Times New Roman"/>
                      <w:szCs w:val="22"/>
                    </w:rPr>
                    <w:t xml:space="preserve"> OR NTAP</w:t>
                  </w:r>
                </w:p>
              </w:tc>
              <w:tc>
                <w:tcPr>
                  <w:tcW w:w="4300" w:type="dxa"/>
                  <w:tcBorders>
                    <w:bottom w:val="single" w:sz="4" w:space="0" w:color="auto"/>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Odvolatelnost podrozvahové položky</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 xml:space="preserve">Atribut se nemění. </w:t>
                  </w:r>
                  <w:r w:rsidRPr="00463E1A">
                    <w:rPr>
                      <w:rFonts w:ascii="Times New Roman" w:hAnsi="Times New Roman"/>
                      <w:szCs w:val="22"/>
                    </w:rPr>
                    <w:t>Atribut je relevantní pouze pro podrozvahové instrumenty.</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Stav instrumentu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jc w:val="both"/>
                    <w:rPr>
                      <w:rFonts w:ascii="Times New Roman" w:hAnsi="Times New Roman"/>
                      <w:b/>
                      <w:szCs w:val="22"/>
                    </w:rPr>
                  </w:pPr>
                  <w:r w:rsidRPr="00463E1A">
                    <w:rPr>
                      <w:rFonts w:ascii="Times New Roman" w:hAnsi="Times New Roman"/>
                      <w:b/>
                      <w:szCs w:val="22"/>
                    </w:rPr>
                    <w:t>V případě ukončení instrumentu musí atribut „Stav instrumentu“ indikovat tuto skutečnost. V období (T) musí být reportována hodnota „Pohledávka ukončená bez čerpání“, „Vyrovnaná pohledávka v rámci banky“, „Vyrovnaná pohledávka převodem k jiné bance“ nebo „Vyrovnaná pohledávka převodem mimo bankovní sektor“.</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Sporná pohledávka</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bottom w:val="single" w:sz="4" w:space="0" w:color="auto"/>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Příznak řádku</w:t>
                  </w:r>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Standardní řádek</w:t>
                  </w:r>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Standardní řádek</w:t>
                  </w:r>
                </w:p>
              </w:tc>
              <w:tc>
                <w:tcPr>
                  <w:tcW w:w="4300" w:type="dxa"/>
                  <w:tcBorders>
                    <w:bottom w:val="single" w:sz="4" w:space="0" w:color="auto"/>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szCs w:val="22"/>
                    </w:rPr>
                    <w:t>Procesní atribut, který slouží ke konsolidaci dat v databázi ČNB. Hodnota tohoto atributu není podmíněna stavem instrumentu, v tomto případě jeho ukončením.</w:t>
                  </w:r>
                </w:p>
              </w:tc>
            </w:tr>
            <w:tr w:rsidR="006663ED" w:rsidRPr="00463E1A" w:rsidTr="00F8773C">
              <w:trPr>
                <w:trHeight w:val="283"/>
                <w:jc w:val="center"/>
              </w:trPr>
              <w:tc>
                <w:tcPr>
                  <w:tcW w:w="9457" w:type="dxa"/>
                  <w:gridSpan w:val="4"/>
                  <w:tcBorders>
                    <w:left w:val="nil"/>
                    <w:bottom w:val="single" w:sz="4" w:space="0" w:color="auto"/>
                    <w:right w:val="nil"/>
                  </w:tcBorders>
                  <w:vAlign w:val="center"/>
                </w:tcPr>
                <w:p w:rsidR="006663ED" w:rsidRPr="00463E1A" w:rsidRDefault="006663ED" w:rsidP="00F8773C">
                  <w:pPr>
                    <w:spacing w:before="240" w:after="120"/>
                    <w:jc w:val="both"/>
                    <w:rPr>
                      <w:rFonts w:ascii="Times New Roman" w:hAnsi="Times New Roman"/>
                      <w:szCs w:val="22"/>
                    </w:rPr>
                  </w:pPr>
                  <w:r w:rsidRPr="00463E1A">
                    <w:rPr>
                      <w:rFonts w:ascii="Times New Roman" w:hAnsi="Times New Roman"/>
                      <w:szCs w:val="22"/>
                    </w:rPr>
                    <w:t>PANACR03 je dynamickým výkazem, který odráží aktuální stav daného instrumentu v jednotlivých obdobích, tudíž většina vykazovaných atributů se mění z období na období. V případě ukončených instrumentů je tak důležité, aby jednotlivé atributy odrážely tuto skutečnost.</w:t>
                  </w:r>
                </w:p>
              </w:tc>
            </w:tr>
            <w:tr w:rsidR="006663ED" w:rsidRPr="00463E1A" w:rsidTr="00F8773C">
              <w:trPr>
                <w:trHeight w:val="283"/>
                <w:jc w:val="center"/>
              </w:trPr>
              <w:tc>
                <w:tcPr>
                  <w:tcW w:w="9457" w:type="dxa"/>
                  <w:gridSpan w:val="4"/>
                  <w:tcBorders>
                    <w:left w:val="nil"/>
                    <w:right w:val="nil"/>
                  </w:tcBorders>
                  <w:vAlign w:val="center"/>
                </w:tcPr>
                <w:p w:rsidR="006663ED" w:rsidRPr="00463E1A" w:rsidRDefault="006663ED" w:rsidP="00F8773C">
                  <w:pPr>
                    <w:rPr>
                      <w:rFonts w:ascii="Times New Roman" w:hAnsi="Times New Roman"/>
                      <w:b/>
                      <w:color w:val="4F81BD" w:themeColor="accent1"/>
                      <w:szCs w:val="22"/>
                      <w:lang w:val="en-GB"/>
                    </w:rPr>
                  </w:pPr>
                  <w:r w:rsidRPr="00463E1A">
                    <w:rPr>
                      <w:rFonts w:ascii="Times New Roman" w:hAnsi="Times New Roman"/>
                      <w:b/>
                      <w:color w:val="4F81BD" w:themeColor="accent1"/>
                      <w:szCs w:val="22"/>
                      <w:lang w:val="en-GB"/>
                    </w:rPr>
                    <w:t>PANACR03 (Financial)</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Atribut</w:t>
                  </w:r>
                </w:p>
              </w:tc>
              <w:tc>
                <w:tcPr>
                  <w:tcW w:w="148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(T-1)</w:t>
                  </w:r>
                </w:p>
              </w:tc>
              <w:tc>
                <w:tcPr>
                  <w:tcW w:w="148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w:t>
                  </w:r>
                </w:p>
              </w:tc>
              <w:tc>
                <w:tcPr>
                  <w:tcW w:w="4300" w:type="dxa"/>
                  <w:tcBorders>
                    <w:righ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Poznámka</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sledovaného subjektu</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kontraktu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instrumentu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lastRenderedPageBreak/>
                    <w:t>Úroková sazba</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x.xxxxxx</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x.xxxxxx</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Datum příštího přenastavení úrokové sazby</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dd.mm.yyyy</w:t>
                  </w:r>
                  <w:proofErr w:type="spellEnd"/>
                  <w:r w:rsidRPr="00463E1A">
                    <w:rPr>
                      <w:rFonts w:ascii="Times New Roman" w:hAnsi="Times New Roman"/>
                      <w:szCs w:val="22"/>
                    </w:rPr>
                    <w:t xml:space="preserve"> OR NTAP</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szCs w:val="22"/>
                    </w:rPr>
                    <w:t xml:space="preserve">V případě, že atribut bude nabývat hodnoty „NTAP“ již v období (T-1), potom se atribut nemění. Pokud je však v období (T-1) reportováno skutečné datum, potom </w:t>
                  </w:r>
                  <w:r w:rsidRPr="00463E1A">
                    <w:rPr>
                      <w:rFonts w:ascii="Times New Roman" w:hAnsi="Times New Roman"/>
                      <w:b/>
                      <w:szCs w:val="22"/>
                    </w:rPr>
                    <w:t>v období (T) musí být vykázána hodnota „NTAP“</w:t>
                  </w:r>
                  <w:r w:rsidRPr="00463E1A">
                    <w:rPr>
                      <w:rFonts w:ascii="Times New Roman" w:hAnsi="Times New Roman"/>
                      <w:szCs w:val="22"/>
                    </w:rPr>
                    <w:t>, protože instrument byl již splacen a neexistuje žádné datum příštího přenastavení úrokové sazby.</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Stav selhání instrumentu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r w:rsidRPr="00463E1A">
                    <w:rPr>
                      <w:rFonts w:ascii="Times New Roman" w:hAnsi="Times New Roman"/>
                      <w:szCs w:val="22"/>
                    </w:rPr>
                    <w:t xml:space="preserve"> OR NTAP</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r w:rsidRPr="00463E1A">
                    <w:rPr>
                      <w:rFonts w:ascii="Times New Roman" w:hAnsi="Times New Roman"/>
                      <w:szCs w:val="22"/>
                    </w:rPr>
                    <w:t xml:space="preserve"> OR NTAP</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szCs w:val="22"/>
                    </w:rPr>
                    <w:t xml:space="preserve">Pokud je selhání hodnoceno na úrovni protistrany, potom je reportována hodnota „NTAP“ v obou obdobích. </w:t>
                  </w:r>
                  <w:r w:rsidRPr="00463E1A">
                    <w:rPr>
                      <w:rFonts w:ascii="Times New Roman" w:hAnsi="Times New Roman"/>
                      <w:b/>
                      <w:szCs w:val="22"/>
                    </w:rPr>
                    <w:t>V případě ukončených instrumentů se atribut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Datum stavu selhání instrumentu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dd.mm.yyyy</w:t>
                  </w:r>
                  <w:proofErr w:type="spellEnd"/>
                  <w:r w:rsidRPr="00463E1A">
                    <w:rPr>
                      <w:rFonts w:ascii="Times New Roman" w:hAnsi="Times New Roman"/>
                      <w:szCs w:val="22"/>
                    </w:rPr>
                    <w:t xml:space="preserve"> OR NTAP</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dd.mn.yyyy</w:t>
                  </w:r>
                  <w:proofErr w:type="spellEnd"/>
                  <w:r w:rsidRPr="00463E1A">
                    <w:rPr>
                      <w:rFonts w:ascii="Times New Roman" w:hAnsi="Times New Roman"/>
                      <w:szCs w:val="22"/>
                    </w:rPr>
                    <w:t xml:space="preserve"> OR NTAP</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szCs w:val="22"/>
                    </w:rPr>
                    <w:t xml:space="preserve">Atribut přímo souvisí s atributem „Stav selhání instrumentu“. Pokud stav nabývá hodnoty „NTAP“, potom i datum nabývá hodnoty „NTAP“. </w:t>
                  </w:r>
                  <w:r w:rsidRPr="00463E1A">
                    <w:rPr>
                      <w:rFonts w:ascii="Times New Roman" w:hAnsi="Times New Roman"/>
                      <w:b/>
                      <w:szCs w:val="22"/>
                    </w:rPr>
                    <w:t>V případě ukončených instrumentů se atribut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Převáděná částka</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p>
              </w:tc>
              <w:tc>
                <w:tcPr>
                  <w:tcW w:w="4300" w:type="dxa"/>
                  <w:tcBorders>
                    <w:right w:val="nil"/>
                  </w:tcBorders>
                  <w:vAlign w:val="center"/>
                </w:tcPr>
                <w:p w:rsidR="006663ED" w:rsidRPr="00463E1A" w:rsidRDefault="006663ED" w:rsidP="00F8773C">
                  <w:pPr>
                    <w:jc w:val="both"/>
                    <w:rPr>
                      <w:rFonts w:ascii="Times New Roman" w:hAnsi="Times New Roman"/>
                      <w:b/>
                      <w:szCs w:val="22"/>
                    </w:rPr>
                  </w:pPr>
                  <w:r w:rsidRPr="00463E1A">
                    <w:rPr>
                      <w:rFonts w:ascii="Times New Roman" w:hAnsi="Times New Roman"/>
                      <w:b/>
                      <w:szCs w:val="22"/>
                    </w:rPr>
                    <w:t>V případě, že je instrument splacen klientem v plné výši, potom atribut v období (T) zůstává nulový. V případě, že je však instrument prodán jinému subjektu v plné výši, potom tento atribut v období (T) zachycuje celou výši atributu „Nesplacená nominální hodnota“.</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Nedoplatky za instrument: jistina</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0.00</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V období (T) je atribut vždy nulový</w:t>
                  </w:r>
                  <w:r w:rsidRPr="00463E1A">
                    <w:rPr>
                      <w:rFonts w:ascii="Times New Roman" w:hAnsi="Times New Roman"/>
                      <w:szCs w:val="22"/>
                    </w:rPr>
                    <w:t>, nicméně v období (T-1) může nabývat kladné hodnoty.</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Nedoplatky za instrument: úroky a poplatky</w:t>
                  </w:r>
                </w:p>
              </w:tc>
              <w:tc>
                <w:tcPr>
                  <w:tcW w:w="1486" w:type="dxa"/>
                  <w:vAlign w:val="center"/>
                </w:tcPr>
                <w:p w:rsidR="006663ED" w:rsidRPr="00463E1A" w:rsidRDefault="006663ED" w:rsidP="00F8773C">
                  <w:pPr>
                    <w:rPr>
                      <w:rFonts w:ascii="Times New Roman" w:hAnsi="Times New Roman"/>
                      <w:szCs w:val="22"/>
                      <w:lang w:val="en-US"/>
                    </w:rPr>
                  </w:pPr>
                  <w:proofErr w:type="spellStart"/>
                  <w:r w:rsidRPr="00463E1A">
                    <w:rPr>
                      <w:rFonts w:ascii="Times New Roman" w:hAnsi="Times New Roman"/>
                      <w:szCs w:val="22"/>
                    </w:rPr>
                    <w:t>x.xx</w:t>
                  </w:r>
                  <w:proofErr w:type="spellEnd"/>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0.00</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V období (T) je atribut vždy nulový</w:t>
                  </w:r>
                  <w:r w:rsidRPr="00463E1A">
                    <w:rPr>
                      <w:rFonts w:ascii="Times New Roman" w:hAnsi="Times New Roman"/>
                      <w:szCs w:val="22"/>
                    </w:rPr>
                    <w:t>, nicméně v období (T-1) může nabývat kladné hodnoty.</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Datum instrumentu po splatnosti</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 xml:space="preserve">NTAP OR </w:t>
                  </w:r>
                  <w:proofErr w:type="spellStart"/>
                  <w:r w:rsidRPr="00463E1A">
                    <w:rPr>
                      <w:rFonts w:ascii="Times New Roman" w:hAnsi="Times New Roman"/>
                      <w:szCs w:val="22"/>
                    </w:rPr>
                    <w:t>dd.mm.yyyy</w:t>
                  </w:r>
                  <w:proofErr w:type="spellEnd"/>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szCs w:val="22"/>
                    </w:rPr>
                    <w:t xml:space="preserve">Atribut přímo souvisí s atributy „Nedoplatky za instrument: jistina“ a „Nedoplatky za instrument: úroky a poplatky“. Pokud tyto atributy nabývají kladné hodnoty, potom v rámci atributu „Datum instrumentu po splatnosti“ musí být vykázáno konkrétní datum. Pokud však nejsou evidovány žádné nedoplatky, potom musí být atribut reportován jako ‘NTAP‘. </w:t>
                  </w:r>
                  <w:r w:rsidRPr="00463E1A">
                    <w:rPr>
                      <w:rFonts w:ascii="Times New Roman" w:hAnsi="Times New Roman"/>
                      <w:b/>
                      <w:szCs w:val="22"/>
                    </w:rPr>
                    <w:t>V období (T) musí být atribut vždy „NTAP“.</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 xml:space="preserve">Typ </w:t>
                  </w:r>
                  <w:proofErr w:type="spellStart"/>
                  <w:r w:rsidRPr="00463E1A">
                    <w:rPr>
                      <w:rFonts w:ascii="Times New Roman" w:hAnsi="Times New Roman"/>
                      <w:b/>
                      <w:color w:val="4F81BD" w:themeColor="accent1"/>
                      <w:szCs w:val="22"/>
                    </w:rPr>
                    <w:t>sekuritizace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r w:rsidRPr="00463E1A">
                    <w:rPr>
                      <w:rFonts w:ascii="Times New Roman" w:hAnsi="Times New Roman"/>
                      <w:szCs w:val="22"/>
                    </w:rPr>
                    <w:t xml:space="preserve"> Ve většině případů bude v podmínkách ČR použita hodnota „</w:t>
                  </w:r>
                  <w:proofErr w:type="spellStart"/>
                  <w:r w:rsidRPr="00463E1A">
                    <w:rPr>
                      <w:rFonts w:ascii="Times New Roman" w:hAnsi="Times New Roman"/>
                      <w:szCs w:val="22"/>
                    </w:rPr>
                    <w:t>Nesekuritizováno</w:t>
                  </w:r>
                  <w:proofErr w:type="spellEnd"/>
                  <w:r w:rsidRPr="00463E1A">
                    <w:rPr>
                      <w:rFonts w:ascii="Times New Roman" w:hAnsi="Times New Roman"/>
                      <w:szCs w:val="22"/>
                    </w:rPr>
                    <w:t>“.</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Nesplacená nominální hodnota</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0.00</w:t>
                  </w:r>
                </w:p>
              </w:tc>
              <w:tc>
                <w:tcPr>
                  <w:tcW w:w="4300" w:type="dxa"/>
                  <w:tcBorders>
                    <w:right w:val="nil"/>
                  </w:tcBorders>
                  <w:vAlign w:val="center"/>
                </w:tcPr>
                <w:p w:rsidR="006663ED" w:rsidRPr="00463E1A" w:rsidRDefault="006663ED" w:rsidP="00F8773C">
                  <w:pPr>
                    <w:jc w:val="both"/>
                    <w:rPr>
                      <w:rFonts w:ascii="Times New Roman" w:hAnsi="Times New Roman"/>
                      <w:b/>
                      <w:szCs w:val="22"/>
                    </w:rPr>
                  </w:pPr>
                  <w:r w:rsidRPr="00463E1A">
                    <w:rPr>
                      <w:rFonts w:ascii="Times New Roman" w:hAnsi="Times New Roman"/>
                      <w:b/>
                      <w:szCs w:val="22"/>
                    </w:rPr>
                    <w:t>Atribut musí být v období (T) nulový.</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Naběhlý úrok</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lang w:val="en-US"/>
                    </w:rPr>
                    <w:t>x.xx</w:t>
                  </w:r>
                  <w:proofErr w:type="spellEnd"/>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0.00</w:t>
                  </w:r>
                </w:p>
              </w:tc>
              <w:tc>
                <w:tcPr>
                  <w:tcW w:w="4300" w:type="dxa"/>
                  <w:tcBorders>
                    <w:right w:val="nil"/>
                  </w:tcBorders>
                  <w:vAlign w:val="center"/>
                </w:tcPr>
                <w:p w:rsidR="006663ED" w:rsidRPr="00463E1A" w:rsidRDefault="006663ED" w:rsidP="00F8773C">
                  <w:pPr>
                    <w:jc w:val="both"/>
                    <w:rPr>
                      <w:rFonts w:ascii="Times New Roman" w:hAnsi="Times New Roman"/>
                      <w:b/>
                      <w:szCs w:val="22"/>
                    </w:rPr>
                  </w:pPr>
                  <w:r w:rsidRPr="00463E1A">
                    <w:rPr>
                      <w:rFonts w:ascii="Times New Roman" w:hAnsi="Times New Roman"/>
                      <w:b/>
                      <w:szCs w:val="22"/>
                    </w:rPr>
                    <w:t>Atribut musí být v období (T) nulový.</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Hodnota podrozvahových položek</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r w:rsidRPr="00463E1A">
                    <w:rPr>
                      <w:rFonts w:ascii="Times New Roman" w:hAnsi="Times New Roman"/>
                      <w:szCs w:val="22"/>
                    </w:rPr>
                    <w:t xml:space="preserve"> OR NTAP</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0.00 OR NTAP</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Pokud instrument umožňuje čerpání dalších finančních prostředků, potom atribut v období (T-1) nabývá konkrétní hodnoty a v období (T) musí být nulový.</w:t>
                  </w:r>
                  <w:r w:rsidRPr="00463E1A">
                    <w:rPr>
                      <w:rFonts w:ascii="Times New Roman" w:hAnsi="Times New Roman"/>
                      <w:szCs w:val="22"/>
                    </w:rPr>
                    <w:t xml:space="preserve"> </w:t>
                  </w:r>
                  <w:r w:rsidRPr="00463E1A">
                    <w:rPr>
                      <w:rFonts w:ascii="Times New Roman" w:hAnsi="Times New Roman"/>
                      <w:b/>
                      <w:szCs w:val="22"/>
                    </w:rPr>
                    <w:t xml:space="preserve">V případě, že výše finančních prostředků daného instrumentu je stanovena fixně, </w:t>
                  </w:r>
                  <w:r w:rsidRPr="00463E1A">
                    <w:rPr>
                      <w:rFonts w:ascii="Times New Roman" w:hAnsi="Times New Roman"/>
                      <w:b/>
                      <w:szCs w:val="22"/>
                    </w:rPr>
                    <w:lastRenderedPageBreak/>
                    <w:t>potom musí atribut nabývat hodnoty „NTAP“ v obou obdobích.</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lastRenderedPageBreak/>
                    <w:t>Bezúročný úvěr</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lang w:val="en-US"/>
                    </w:rPr>
                    <w:t>x.xx</w:t>
                  </w:r>
                  <w:proofErr w:type="spellEnd"/>
                  <w:r w:rsidRPr="00463E1A">
                    <w:rPr>
                      <w:rFonts w:ascii="Times New Roman" w:hAnsi="Times New Roman"/>
                      <w:szCs w:val="22"/>
                      <w:lang w:val="en-US"/>
                    </w:rPr>
                    <w:t xml:space="preserve"> OR NTAP</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0.00 OR NTAP</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szCs w:val="22"/>
                    </w:rPr>
                    <w:t xml:space="preserve">Tento atribut by měl být relevantní především pro úvěry z kreditních karet. Pokud se bude jednat o jiný typ instrumentu, potom bude hodnota pravděpodobně „NTAP“. </w:t>
                  </w:r>
                  <w:r w:rsidRPr="00463E1A">
                    <w:rPr>
                      <w:rFonts w:ascii="Times New Roman" w:hAnsi="Times New Roman"/>
                      <w:b/>
                      <w:szCs w:val="22"/>
                    </w:rPr>
                    <w:t>V období (T) musí být atribut buď nulový nebo „NTAP“</w:t>
                  </w:r>
                  <w:r w:rsidRPr="00463E1A">
                    <w:rPr>
                      <w:rFonts w:ascii="Times New Roman" w:hAnsi="Times New Roman"/>
                      <w:szCs w:val="22"/>
                    </w:rPr>
                    <w:t>.</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Úročený úvěr</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lang w:val="en-US"/>
                    </w:rPr>
                    <w:t>x.xx</w:t>
                  </w:r>
                  <w:proofErr w:type="spellEnd"/>
                  <w:r w:rsidRPr="00463E1A">
                    <w:rPr>
                      <w:rFonts w:ascii="Times New Roman" w:hAnsi="Times New Roman"/>
                      <w:szCs w:val="22"/>
                    </w:rPr>
                    <w:t xml:space="preserve"> OR NTAP</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0.00 OR NTAP</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szCs w:val="22"/>
                    </w:rPr>
                    <w:t xml:space="preserve">Tento atribut by měl být relevantní především pro úvěry z kreditních karet. Pokud se bude jednat o jiný typ instrumentu, potom bude hodnota pravděpodobně „NTAP“. </w:t>
                  </w:r>
                  <w:r w:rsidRPr="00463E1A">
                    <w:rPr>
                      <w:rFonts w:ascii="Times New Roman" w:hAnsi="Times New Roman"/>
                      <w:b/>
                      <w:szCs w:val="22"/>
                    </w:rPr>
                    <w:t>V období (T) musí být atribut buď nulový nebo „NTAP“</w:t>
                  </w:r>
                  <w:r w:rsidRPr="00463E1A">
                    <w:rPr>
                      <w:rFonts w:ascii="Times New Roman" w:hAnsi="Times New Roman"/>
                      <w:szCs w:val="22"/>
                    </w:rPr>
                    <w:t>.</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Efektivní úroková sazba</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x.xxxxxx</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x.xxxxxx</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bottom w:val="single" w:sz="4" w:space="0" w:color="auto"/>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Příznak řádku</w:t>
                  </w:r>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Standardní řádek</w:t>
                  </w:r>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Standardní řádek</w:t>
                  </w:r>
                </w:p>
              </w:tc>
              <w:tc>
                <w:tcPr>
                  <w:tcW w:w="4300" w:type="dxa"/>
                  <w:tcBorders>
                    <w:bottom w:val="single" w:sz="4" w:space="0" w:color="auto"/>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szCs w:val="22"/>
                    </w:rPr>
                    <w:t>Procesní atribut, který slouží ke konsolidaci dat v databázi ČNB. Hodnota tohoto atributu není podmíněna stavem instrumentu, v tomto případě jeho ukončením.</w:t>
                  </w:r>
                </w:p>
              </w:tc>
            </w:tr>
            <w:tr w:rsidR="006663ED" w:rsidRPr="00463E1A" w:rsidTr="00F8773C">
              <w:trPr>
                <w:trHeight w:val="283"/>
                <w:jc w:val="center"/>
              </w:trPr>
              <w:tc>
                <w:tcPr>
                  <w:tcW w:w="9457" w:type="dxa"/>
                  <w:gridSpan w:val="4"/>
                  <w:tcBorders>
                    <w:left w:val="nil"/>
                    <w:bottom w:val="single" w:sz="4" w:space="0" w:color="auto"/>
                    <w:right w:val="nil"/>
                  </w:tcBorders>
                  <w:vAlign w:val="center"/>
                </w:tcPr>
                <w:p w:rsidR="006663ED" w:rsidRPr="00463E1A" w:rsidRDefault="006663ED" w:rsidP="00F8773C">
                  <w:pPr>
                    <w:spacing w:before="240" w:after="120"/>
                    <w:jc w:val="both"/>
                    <w:rPr>
                      <w:rFonts w:ascii="Times New Roman" w:hAnsi="Times New Roman"/>
                      <w:szCs w:val="22"/>
                    </w:rPr>
                  </w:pPr>
                  <w:r w:rsidRPr="00463E1A">
                    <w:rPr>
                      <w:rFonts w:ascii="Times New Roman" w:hAnsi="Times New Roman"/>
                      <w:szCs w:val="22"/>
                    </w:rPr>
                    <w:t>PANACR04 je statický výkaz, v rámci kterého se nemění žádné atributy pro ukončené instrumenty.</w:t>
                  </w:r>
                </w:p>
              </w:tc>
            </w:tr>
            <w:tr w:rsidR="006663ED" w:rsidRPr="00463E1A" w:rsidTr="00F8773C">
              <w:trPr>
                <w:trHeight w:val="283"/>
                <w:jc w:val="center"/>
              </w:trPr>
              <w:tc>
                <w:tcPr>
                  <w:tcW w:w="9457" w:type="dxa"/>
                  <w:gridSpan w:val="4"/>
                  <w:tcBorders>
                    <w:left w:val="nil"/>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color w:val="4F81BD" w:themeColor="accent1"/>
                      <w:szCs w:val="22"/>
                      <w:lang w:val="en-GB"/>
                    </w:rPr>
                    <w:t>PANACR04 (Counterparty - Instrument)</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Atribut</w:t>
                  </w:r>
                </w:p>
              </w:tc>
              <w:tc>
                <w:tcPr>
                  <w:tcW w:w="148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(T-1)</w:t>
                  </w:r>
                </w:p>
              </w:tc>
              <w:tc>
                <w:tcPr>
                  <w:tcW w:w="148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w:t>
                  </w:r>
                </w:p>
              </w:tc>
              <w:tc>
                <w:tcPr>
                  <w:tcW w:w="4300" w:type="dxa"/>
                  <w:tcBorders>
                    <w:righ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Poznámka</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sledovaného subjektu</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kontraktu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instrumentu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protistrany</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Typ protistrany</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r w:rsidRPr="00463E1A">
                    <w:rPr>
                      <w:rFonts w:ascii="Times New Roman" w:hAnsi="Times New Roman"/>
                      <w:szCs w:val="22"/>
                    </w:rPr>
                    <w:t xml:space="preserve"> Velká většina záznamů bude nabývat hodnoty „Právnická osoba s IČO“.</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Role protistrany</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Národní identifikátor</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r w:rsidRPr="00463E1A">
                    <w:rPr>
                      <w:rFonts w:ascii="Times New Roman" w:hAnsi="Times New Roman"/>
                      <w:szCs w:val="22"/>
                    </w:rPr>
                    <w:t xml:space="preserve"> Pro české klienty bude reportováno především IČO, tj. 8-místný číselný kód.</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Obchodní jednotka banky</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bottom w:val="single" w:sz="4" w:space="0" w:color="auto"/>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Příznak řádku</w:t>
                  </w:r>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Standardní řádek</w:t>
                  </w:r>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Standardní řádek</w:t>
                  </w:r>
                </w:p>
              </w:tc>
              <w:tc>
                <w:tcPr>
                  <w:tcW w:w="4300" w:type="dxa"/>
                  <w:tcBorders>
                    <w:bottom w:val="single" w:sz="4" w:space="0" w:color="auto"/>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szCs w:val="22"/>
                    </w:rPr>
                    <w:t>Procesní atribut, který slouží ke konsolidaci dat v databázi ČNB. Hodnota tohoto atributu není podmíněna stavem instrumentu, v tomto případě jeho ukončením.</w:t>
                  </w:r>
                </w:p>
              </w:tc>
            </w:tr>
            <w:tr w:rsidR="006663ED" w:rsidRPr="00463E1A" w:rsidTr="00F8773C">
              <w:trPr>
                <w:trHeight w:val="283"/>
                <w:jc w:val="center"/>
              </w:trPr>
              <w:tc>
                <w:tcPr>
                  <w:tcW w:w="9457" w:type="dxa"/>
                  <w:gridSpan w:val="4"/>
                  <w:tcBorders>
                    <w:left w:val="nil"/>
                    <w:right w:val="nil"/>
                  </w:tcBorders>
                  <w:vAlign w:val="center"/>
                </w:tcPr>
                <w:p w:rsidR="006663ED" w:rsidRPr="00463E1A" w:rsidRDefault="006663ED" w:rsidP="00F8773C">
                  <w:pPr>
                    <w:spacing w:before="240" w:after="120"/>
                    <w:jc w:val="both"/>
                    <w:rPr>
                      <w:rFonts w:ascii="Times New Roman" w:hAnsi="Times New Roman"/>
                      <w:szCs w:val="22"/>
                    </w:rPr>
                  </w:pPr>
                  <w:r w:rsidRPr="00463E1A">
                    <w:rPr>
                      <w:rFonts w:ascii="Times New Roman" w:hAnsi="Times New Roman"/>
                      <w:szCs w:val="22"/>
                    </w:rPr>
                    <w:t xml:space="preserve">Výkaz PANACR05 je reportován do AnaCredit pouze v případě, že je s daným instrumentem spjata více než jedna protistrana v roli dlužníka. Pokud jsou s daným instrumentem spjati dva dlužníci a obě tyto protistrany jsou právnickými osobami podléhající reportingu do AnaCredit, potom jsou v rámci výkazu PANACR05 reportovány dva záznamy. Pokud jsou však s instrumentem spjaty dva dlužníci, přičemž jeden z nich je právnická osoba a druhým je fyzická osoba, potom je v rámci PANACR05 reportován pouze jeden záznam. Přestože je v rámci PANACR05 reportována pouze právnická osoba a její podíl na </w:t>
                  </w:r>
                  <w:r w:rsidRPr="00463E1A">
                    <w:rPr>
                      <w:rFonts w:ascii="Times New Roman" w:hAnsi="Times New Roman"/>
                      <w:szCs w:val="22"/>
                    </w:rPr>
                    <w:lastRenderedPageBreak/>
                    <w:t xml:space="preserve">celkovém dluhu, víme, že k danému instrumentu existuje ještě minimálně jeden další dlužník, který je však fyzickou osobou, a není tak předmětem reportingu do AnaCredit. V případě, že je s daným instrumentem spjatý pouze jeden dlužník (právnická osoba), potom v rámci PANACR05 není reportován žádný záznam. </w:t>
                  </w:r>
                </w:p>
              </w:tc>
            </w:tr>
            <w:tr w:rsidR="006663ED" w:rsidRPr="00463E1A" w:rsidTr="00F8773C">
              <w:trPr>
                <w:trHeight w:val="283"/>
                <w:jc w:val="center"/>
              </w:trPr>
              <w:tc>
                <w:tcPr>
                  <w:tcW w:w="9457" w:type="dxa"/>
                  <w:gridSpan w:val="4"/>
                  <w:tcBorders>
                    <w:left w:val="nil"/>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color w:val="4F81BD" w:themeColor="accent1"/>
                      <w:szCs w:val="22"/>
                      <w:lang w:val="en-GB"/>
                    </w:rPr>
                    <w:lastRenderedPageBreak/>
                    <w:t>PANACR05 (Joint liabilities)</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Atribut</w:t>
                  </w:r>
                </w:p>
              </w:tc>
              <w:tc>
                <w:tcPr>
                  <w:tcW w:w="148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(T-1)</w:t>
                  </w:r>
                </w:p>
              </w:tc>
              <w:tc>
                <w:tcPr>
                  <w:tcW w:w="148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w:t>
                  </w:r>
                </w:p>
              </w:tc>
              <w:tc>
                <w:tcPr>
                  <w:tcW w:w="4300" w:type="dxa"/>
                  <w:tcBorders>
                    <w:righ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Poznámka</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sledovaného subjektu</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kontraktu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instrumentu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protistrany</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Výše společných závazků</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0.00</w:t>
                  </w:r>
                </w:p>
              </w:tc>
              <w:tc>
                <w:tcPr>
                  <w:tcW w:w="4300" w:type="dxa"/>
                  <w:tcBorders>
                    <w:right w:val="nil"/>
                  </w:tcBorders>
                  <w:vAlign w:val="center"/>
                </w:tcPr>
                <w:p w:rsidR="006663ED" w:rsidRPr="00463E1A" w:rsidRDefault="006663ED" w:rsidP="00F8773C">
                  <w:pPr>
                    <w:jc w:val="both"/>
                    <w:rPr>
                      <w:rFonts w:ascii="Times New Roman" w:hAnsi="Times New Roman"/>
                      <w:b/>
                      <w:szCs w:val="22"/>
                    </w:rPr>
                  </w:pPr>
                  <w:r w:rsidRPr="00463E1A">
                    <w:rPr>
                      <w:rFonts w:ascii="Times New Roman" w:hAnsi="Times New Roman"/>
                      <w:b/>
                      <w:szCs w:val="22"/>
                    </w:rPr>
                    <w:t>Atribut musí být v období (T) nulový.</w:t>
                  </w:r>
                </w:p>
              </w:tc>
            </w:tr>
            <w:tr w:rsidR="006663ED" w:rsidRPr="00463E1A" w:rsidTr="00F8773C">
              <w:trPr>
                <w:trHeight w:val="283"/>
                <w:jc w:val="center"/>
              </w:trPr>
              <w:tc>
                <w:tcPr>
                  <w:tcW w:w="2185" w:type="dxa"/>
                  <w:tcBorders>
                    <w:left w:val="nil"/>
                    <w:bottom w:val="single" w:sz="4" w:space="0" w:color="auto"/>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Příznak řádku</w:t>
                  </w:r>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Standardní řádek</w:t>
                  </w:r>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Standardní řádek</w:t>
                  </w:r>
                </w:p>
              </w:tc>
              <w:tc>
                <w:tcPr>
                  <w:tcW w:w="4300" w:type="dxa"/>
                  <w:tcBorders>
                    <w:bottom w:val="single" w:sz="4" w:space="0" w:color="auto"/>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szCs w:val="22"/>
                    </w:rPr>
                    <w:t>Procesní atribut, který slouží ke konsolidaci dat v databázi ČNB. Hodnota tohoto atributu není podmíněna stavem instrumentu, v tomto případě jeho ukončením.</w:t>
                  </w:r>
                </w:p>
              </w:tc>
            </w:tr>
            <w:tr w:rsidR="006663ED" w:rsidRPr="00463E1A" w:rsidTr="00F8773C">
              <w:trPr>
                <w:trHeight w:val="283"/>
                <w:jc w:val="center"/>
              </w:trPr>
              <w:tc>
                <w:tcPr>
                  <w:tcW w:w="9457" w:type="dxa"/>
                  <w:gridSpan w:val="4"/>
                  <w:tcBorders>
                    <w:left w:val="nil"/>
                    <w:bottom w:val="single" w:sz="4" w:space="0" w:color="auto"/>
                    <w:right w:val="nil"/>
                  </w:tcBorders>
                  <w:vAlign w:val="center"/>
                </w:tcPr>
                <w:p w:rsidR="006663ED" w:rsidRPr="00463E1A" w:rsidRDefault="006663ED" w:rsidP="00F8773C">
                  <w:pPr>
                    <w:spacing w:before="240" w:after="120"/>
                    <w:jc w:val="both"/>
                    <w:rPr>
                      <w:rFonts w:ascii="Times New Roman" w:hAnsi="Times New Roman"/>
                      <w:szCs w:val="22"/>
                    </w:rPr>
                  </w:pPr>
                  <w:r w:rsidRPr="00463E1A">
                    <w:rPr>
                      <w:rFonts w:ascii="Times New Roman" w:hAnsi="Times New Roman"/>
                      <w:szCs w:val="22"/>
                    </w:rPr>
                    <w:t>PANACR06 je čtvrtletní výkaz, který je dynamického charakteru, a odráží skutečnost daného instrumentu v příslušném období. V případě ukončených instrumentů nabývají některé atributy předem stanovených hodnot. Pokud je instrument ukončen v měsíci, který zároveň není čtvrtletím, potom se k tomuto instrumentu nevykazují žádná data z PANACR06, tj. výkaz není vůbec předmětem reportingu pro dané období. V podstatě to znamená, že ukončené instrumenty nemusí být vykazovány do konce čtvrtletí, jako tomu je v případě odepsaných instrumentů.</w:t>
                  </w:r>
                </w:p>
              </w:tc>
            </w:tr>
            <w:tr w:rsidR="006663ED" w:rsidRPr="00463E1A" w:rsidTr="00F8773C">
              <w:trPr>
                <w:trHeight w:val="283"/>
                <w:jc w:val="center"/>
              </w:trPr>
              <w:tc>
                <w:tcPr>
                  <w:tcW w:w="9457" w:type="dxa"/>
                  <w:gridSpan w:val="4"/>
                  <w:tcBorders>
                    <w:left w:val="nil"/>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color w:val="4F81BD" w:themeColor="accent1"/>
                      <w:szCs w:val="22"/>
                      <w:lang w:val="en-GB"/>
                    </w:rPr>
                    <w:t>PANACR06 (Accounting)</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Atribut</w:t>
                  </w:r>
                </w:p>
              </w:tc>
              <w:tc>
                <w:tcPr>
                  <w:tcW w:w="148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(T-3)</w:t>
                  </w:r>
                </w:p>
              </w:tc>
              <w:tc>
                <w:tcPr>
                  <w:tcW w:w="148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w:t>
                  </w:r>
                </w:p>
              </w:tc>
              <w:tc>
                <w:tcPr>
                  <w:tcW w:w="4300" w:type="dxa"/>
                  <w:tcBorders>
                    <w:righ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Poznámka</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sledovaného subjektu</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kontraktu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instrumentu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Účetní klasifikace instrumentů</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r w:rsidRPr="00463E1A">
                    <w:rPr>
                      <w:rFonts w:ascii="Times New Roman" w:hAnsi="Times New Roman"/>
                      <w:szCs w:val="22"/>
                    </w:rPr>
                    <w:t xml:space="preserve"> OR NTAP</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r w:rsidRPr="00463E1A">
                    <w:rPr>
                      <w:rFonts w:ascii="Times New Roman" w:hAnsi="Times New Roman"/>
                      <w:szCs w:val="22"/>
                    </w:rPr>
                    <w:t xml:space="preserve"> OR NTAP</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Zachycení v rozvaze</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Kumulované odpisy</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lang w:val="en-US"/>
                    </w:rPr>
                    <w:t>x.xx</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p>
              </w:tc>
              <w:tc>
                <w:tcPr>
                  <w:tcW w:w="4300" w:type="dxa"/>
                  <w:tcBorders>
                    <w:right w:val="nil"/>
                  </w:tcBorders>
                  <w:vAlign w:val="center"/>
                </w:tcPr>
                <w:p w:rsidR="006663ED" w:rsidRPr="00463E1A" w:rsidRDefault="006663ED" w:rsidP="00F8773C">
                  <w:pPr>
                    <w:jc w:val="both"/>
                    <w:rPr>
                      <w:rFonts w:ascii="Times New Roman" w:hAnsi="Times New Roman"/>
                      <w:b/>
                      <w:szCs w:val="22"/>
                    </w:rPr>
                  </w:pPr>
                  <w:r w:rsidRPr="00463E1A">
                    <w:rPr>
                      <w:rFonts w:ascii="Times New Roman" w:hAnsi="Times New Roman"/>
                      <w:b/>
                      <w:szCs w:val="22"/>
                    </w:rPr>
                    <w:t>Pokud se jedná o odepsaný instrument, který byl splacen nebo prodán v plné výši, potom musí atribut nabývat nulové hodnoty. Pokud byl však odepsaný instrument splacen nebo prodán v částečném rozsahu či se vykazující subjekt rozhodl dluh nadále neevidovat, potom atribut nabývá zbývající hodnoty.</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Kumulované snížení hodnoty</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lang w:val="en-US"/>
                    </w:rPr>
                    <w:t>x.xx</w:t>
                  </w:r>
                  <w:proofErr w:type="spellEnd"/>
                  <w:r w:rsidRPr="00463E1A">
                    <w:rPr>
                      <w:rFonts w:ascii="Times New Roman" w:hAnsi="Times New Roman"/>
                      <w:szCs w:val="22"/>
                    </w:rPr>
                    <w:t xml:space="preserve"> OR NTAP</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0.00 OR NTAP</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musí být v období (T) nulový nebo nabývat hodnoty „NTAP“.</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Typ snížení hodnoty</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r w:rsidRPr="00463E1A">
                    <w:rPr>
                      <w:rFonts w:ascii="Times New Roman" w:hAnsi="Times New Roman"/>
                      <w:szCs w:val="22"/>
                    </w:rPr>
                    <w:t xml:space="preserve"> OR NTAP</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r w:rsidRPr="00463E1A">
                    <w:rPr>
                      <w:rFonts w:ascii="Times New Roman" w:hAnsi="Times New Roman"/>
                      <w:szCs w:val="22"/>
                    </w:rPr>
                    <w:t xml:space="preserve"> OR NTAP</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lastRenderedPageBreak/>
                    <w:t>Metoda posouzení snížení hodnoty</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r w:rsidRPr="00463E1A">
                    <w:rPr>
                      <w:rFonts w:ascii="Times New Roman" w:hAnsi="Times New Roman"/>
                      <w:szCs w:val="22"/>
                    </w:rPr>
                    <w:t xml:space="preserve"> OR NTAP</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r w:rsidRPr="00463E1A">
                    <w:rPr>
                      <w:rFonts w:ascii="Times New Roman" w:hAnsi="Times New Roman"/>
                      <w:szCs w:val="22"/>
                    </w:rPr>
                    <w:t xml:space="preserve"> OR NTAP</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Zdroje zatížení</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Kumulované změny reálné hodnoty v důsledku změny úvěrového rizika</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r w:rsidRPr="00463E1A">
                    <w:rPr>
                      <w:rFonts w:ascii="Times New Roman" w:hAnsi="Times New Roman"/>
                      <w:szCs w:val="22"/>
                    </w:rPr>
                    <w:t xml:space="preserve"> OR NTAP</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r w:rsidRPr="00463E1A">
                    <w:rPr>
                      <w:rFonts w:ascii="Times New Roman" w:hAnsi="Times New Roman"/>
                      <w:szCs w:val="22"/>
                    </w:rPr>
                    <w:t xml:space="preserve"> OR NTAP</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Stav výkonnosti instrumentu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Datum stavu výkonnosti instrumentu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dd.mm.yyyy</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dd.mm.yyyy</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Rezervy spojené s podrozvahovými položkami</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r w:rsidRPr="00463E1A">
                    <w:rPr>
                      <w:rFonts w:ascii="Times New Roman" w:hAnsi="Times New Roman"/>
                      <w:szCs w:val="22"/>
                    </w:rPr>
                    <w:t xml:space="preserve"> OR NTAP</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0.00 OR NTAP</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 xml:space="preserve">Hodnota „NTAP“ je reportována v případě, že instrument nikdy neobsahoval žádný limit pro čerpání prostředků. Pokud limit pro čerpání existoval, tudíž bylo možné stanovit i rezervy, potom </w:t>
                  </w:r>
                  <w:r w:rsidRPr="00463E1A">
                    <w:rPr>
                      <w:rFonts w:ascii="Times New Roman" w:hAnsi="Times New Roman"/>
                      <w:b/>
                      <w:szCs w:val="22"/>
                    </w:rPr>
                    <w:t>v případě ukončeného instrumentu musí být daný atribut v období (T) nulový</w:t>
                  </w:r>
                  <w:r w:rsidRPr="00463E1A">
                    <w:rPr>
                      <w:rFonts w:ascii="Times New Roman" w:hAnsi="Times New Roman"/>
                      <w:szCs w:val="22"/>
                    </w:rPr>
                    <w:t>.</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Stav úlev a opětovných sjednání</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Datum stavu úlev a opětovných sjednání</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dd.mm.yyyy</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dd.mm.yyyy</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Kumulované úhrady od selhání</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r w:rsidRPr="00463E1A">
                    <w:rPr>
                      <w:rFonts w:ascii="Times New Roman" w:hAnsi="Times New Roman"/>
                      <w:szCs w:val="22"/>
                    </w:rPr>
                    <w:t xml:space="preserve"> OR NTAP</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r w:rsidRPr="00463E1A">
                    <w:rPr>
                      <w:rFonts w:ascii="Times New Roman" w:hAnsi="Times New Roman"/>
                      <w:szCs w:val="22"/>
                    </w:rPr>
                    <w:t xml:space="preserve"> OR NTAP</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Atribut se nemění. Hodnota „NTAP“ je reportována v případech, kdy instrument nebyl od svého vzniku nikdy v selhání. Pokud instrument někdy v selhání byl, potom je reportována částka získaná v průběhu posledního selhání i v dalších obdobích, kdy instrument už v selhání není.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Obezřetnostní portfolio</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r w:rsidRPr="00463E1A">
                    <w:rPr>
                      <w:rFonts w:ascii="Times New Roman" w:hAnsi="Times New Roman"/>
                      <w:szCs w:val="22"/>
                    </w:rPr>
                    <w:t xml:space="preserve"> OR NTAP</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r w:rsidRPr="00463E1A">
                    <w:rPr>
                      <w:rFonts w:ascii="Times New Roman" w:hAnsi="Times New Roman"/>
                      <w:szCs w:val="22"/>
                    </w:rPr>
                    <w:t xml:space="preserve"> OR NTAP</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Účetní hodnota</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r w:rsidRPr="00463E1A">
                    <w:rPr>
                      <w:rFonts w:ascii="Times New Roman" w:hAnsi="Times New Roman"/>
                      <w:szCs w:val="22"/>
                    </w:rPr>
                    <w:t xml:space="preserve"> OR NTAP</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0.00 OR NTAP</w:t>
                  </w:r>
                </w:p>
              </w:tc>
              <w:tc>
                <w:tcPr>
                  <w:tcW w:w="4300" w:type="dxa"/>
                  <w:tcBorders>
                    <w:right w:val="nil"/>
                  </w:tcBorders>
                  <w:vAlign w:val="center"/>
                </w:tcPr>
                <w:p w:rsidR="006663ED" w:rsidRPr="00463E1A" w:rsidRDefault="006663ED" w:rsidP="00F8773C">
                  <w:pPr>
                    <w:rPr>
                      <w:rFonts w:ascii="Times New Roman" w:hAnsi="Times New Roman"/>
                      <w:b/>
                      <w:szCs w:val="22"/>
                    </w:rPr>
                  </w:pPr>
                  <w:r w:rsidRPr="00463E1A">
                    <w:rPr>
                      <w:rFonts w:ascii="Times New Roman" w:hAnsi="Times New Roman"/>
                      <w:b/>
                      <w:szCs w:val="22"/>
                    </w:rPr>
                    <w:t>V případě ukončeného instrumentu musí být daný atribut v období (T) nulový nebo nabývat hodnoty „NTAP“.</w:t>
                  </w:r>
                </w:p>
              </w:tc>
            </w:tr>
            <w:tr w:rsidR="006663ED" w:rsidRPr="00463E1A" w:rsidTr="00F8773C">
              <w:trPr>
                <w:trHeight w:val="283"/>
                <w:jc w:val="center"/>
              </w:trPr>
              <w:tc>
                <w:tcPr>
                  <w:tcW w:w="2185" w:type="dxa"/>
                  <w:tcBorders>
                    <w:left w:val="nil"/>
                    <w:bottom w:val="single" w:sz="4" w:space="0" w:color="auto"/>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Příznak řádku</w:t>
                  </w:r>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Standardní řádek</w:t>
                  </w:r>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Standardní řádek</w:t>
                  </w:r>
                </w:p>
              </w:tc>
              <w:tc>
                <w:tcPr>
                  <w:tcW w:w="4300" w:type="dxa"/>
                  <w:tcBorders>
                    <w:bottom w:val="single" w:sz="4" w:space="0" w:color="auto"/>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szCs w:val="22"/>
                    </w:rPr>
                    <w:t>Procesní atribut, který slouží ke konsolidaci dat v databázi ČNB. Hodnota tohoto atributu není podmíněna stavem instrumentu, v tomto případě jeho ukončením.</w:t>
                  </w:r>
                </w:p>
              </w:tc>
            </w:tr>
            <w:tr w:rsidR="006663ED" w:rsidRPr="00463E1A" w:rsidTr="00F8773C">
              <w:trPr>
                <w:trHeight w:val="283"/>
                <w:jc w:val="center"/>
              </w:trPr>
              <w:tc>
                <w:tcPr>
                  <w:tcW w:w="9457" w:type="dxa"/>
                  <w:gridSpan w:val="4"/>
                  <w:tcBorders>
                    <w:left w:val="nil"/>
                    <w:bottom w:val="single" w:sz="4" w:space="0" w:color="auto"/>
                    <w:right w:val="nil"/>
                  </w:tcBorders>
                  <w:vAlign w:val="center"/>
                </w:tcPr>
                <w:p w:rsidR="006663ED" w:rsidRPr="00463E1A" w:rsidRDefault="006663ED" w:rsidP="00F8773C">
                  <w:pPr>
                    <w:spacing w:before="240" w:after="120"/>
                    <w:jc w:val="both"/>
                    <w:rPr>
                      <w:rFonts w:ascii="Times New Roman" w:hAnsi="Times New Roman"/>
                      <w:szCs w:val="22"/>
                    </w:rPr>
                  </w:pPr>
                  <w:r w:rsidRPr="00463E1A">
                    <w:rPr>
                      <w:rFonts w:ascii="Times New Roman" w:hAnsi="Times New Roman"/>
                      <w:szCs w:val="22"/>
                    </w:rPr>
                    <w:t>Ve výkazu PANACR07 jsou reportovány informace ohledně zajištění, která jsou spjata s konkrétními instrumenty. V podstatě to znamená, že v PANACR07 by nemělo být reportováno žádné zajištění, které nebylo přiřazeno konkrétnímu instrumentu. Pro účely AnaCredit není třeba reportovat zajištění pro ukončené instrumenty. Pokud vykazující subjekty preferují tento přístup, zajištění je tedy naposledy vykázáno v období (T-1) a v období (T) už záznam reportovaný není. Toto je v souladu s reportingem dat do ECB. Pokud některé vykazující subjekty z různých (např. technických) důvodů preferují reporting výkazu PANACR07 i pro ukončené instrumenty, níže uvedený postup je aplikovatelný a vyhovuje všem pravidlům.</w:t>
                  </w:r>
                </w:p>
              </w:tc>
            </w:tr>
            <w:tr w:rsidR="006663ED" w:rsidRPr="00463E1A" w:rsidTr="00F8773C">
              <w:trPr>
                <w:trHeight w:val="283"/>
                <w:jc w:val="center"/>
              </w:trPr>
              <w:tc>
                <w:tcPr>
                  <w:tcW w:w="9457" w:type="dxa"/>
                  <w:gridSpan w:val="4"/>
                  <w:tcBorders>
                    <w:left w:val="nil"/>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color w:val="4F81BD" w:themeColor="accent1"/>
                      <w:szCs w:val="22"/>
                      <w:lang w:val="en-GB"/>
                    </w:rPr>
                    <w:t>PANACR07 (Protection received)</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Atribut</w:t>
                  </w:r>
                </w:p>
              </w:tc>
              <w:tc>
                <w:tcPr>
                  <w:tcW w:w="148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(T-1)</w:t>
                  </w:r>
                </w:p>
              </w:tc>
              <w:tc>
                <w:tcPr>
                  <w:tcW w:w="148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w:t>
                  </w:r>
                </w:p>
              </w:tc>
              <w:tc>
                <w:tcPr>
                  <w:tcW w:w="4300" w:type="dxa"/>
                  <w:tcBorders>
                    <w:righ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Poznámka</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sledovaného subjektu</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lastRenderedPageBreak/>
                    <w:t>Identifikátor zajištění</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ručitele</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 OR NTAP</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 OR NTAP</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Typ protistrany</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 xml:space="preserve">Atribut se nemění. </w:t>
                  </w:r>
                  <w:r w:rsidRPr="00463E1A">
                    <w:rPr>
                      <w:rFonts w:ascii="Times New Roman" w:hAnsi="Times New Roman"/>
                      <w:szCs w:val="22"/>
                    </w:rPr>
                    <w:t>Velká většina záznamů bude nabývat hodnoty „Právnická osoba s IČO“.</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Typ zajištění</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Hodnota zajištění</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Hodnota zajištění k aktuálnímu referenčnímu datu. Pro ukončené instrumenty není nutné zjišťovat aktuální hodnotu zajištění v období, kdy k ukončení instrumentu došlo.</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Typ hodnoty zajištění</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Umístění zastavené nemovitosti</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r w:rsidRPr="00463E1A">
                    <w:rPr>
                      <w:rFonts w:ascii="Times New Roman" w:hAnsi="Times New Roman"/>
                      <w:szCs w:val="22"/>
                    </w:rPr>
                    <w:t xml:space="preserve"> OR NTAP</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r w:rsidRPr="00463E1A">
                    <w:rPr>
                      <w:rFonts w:ascii="Times New Roman" w:hAnsi="Times New Roman"/>
                      <w:szCs w:val="22"/>
                    </w:rPr>
                    <w:t xml:space="preserve"> OR NTAP</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 Hodnota „NTAP“ je vykazována pro zajištění jiného typu než nemovitosti.</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Datum hodnoty zajištění</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dd.mm.yyyy</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dd.mm.yyyy</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je přímo navázán na atribut „Hodnota zajištění“. Pokud se tento atribut nemění, potom se nemění ani příslušné datum.</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Datum splatnosti zajištění</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dd.mm.yyyy</w:t>
                  </w:r>
                  <w:proofErr w:type="spellEnd"/>
                  <w:r w:rsidRPr="00463E1A">
                    <w:rPr>
                      <w:rFonts w:ascii="Times New Roman" w:hAnsi="Times New Roman"/>
                      <w:szCs w:val="22"/>
                    </w:rPr>
                    <w:t xml:space="preserve"> OR NTAP</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dd.mm.yyyy</w:t>
                  </w:r>
                  <w:proofErr w:type="spellEnd"/>
                  <w:r w:rsidRPr="00463E1A">
                    <w:rPr>
                      <w:rFonts w:ascii="Times New Roman" w:hAnsi="Times New Roman"/>
                      <w:szCs w:val="22"/>
                    </w:rPr>
                    <w:t xml:space="preserve"> OR NTAP</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Způsob ocenění zajištění</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Původní hodnota zajištění</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Datum původního ocenění zajištění</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dd.mm.yyyy</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dd.mm.yyyy</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Detailní popis zajištění podle banky</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663ED" w:rsidRPr="00463E1A" w:rsidRDefault="006663ED" w:rsidP="00F8773C">
                  <w:pPr>
                    <w:jc w:val="both"/>
                    <w:rPr>
                      <w:rFonts w:ascii="Times New Roman" w:hAnsi="Times New Roman"/>
                      <w:b/>
                      <w:szCs w:val="22"/>
                    </w:rPr>
                  </w:pPr>
                  <w:r w:rsidRPr="00463E1A">
                    <w:rPr>
                      <w:rFonts w:ascii="Times New Roman" w:hAnsi="Times New Roman"/>
                      <w:b/>
                      <w:szCs w:val="22"/>
                    </w:rPr>
                    <w:t>U zajištění, které je navázáno na ukončený instrument, se popis může měnit, nicméně není vyžadováno změnu reportovat.</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Realizovatelná hodnota zajištění pro výpočet opravných položek a rezerv</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U zajištění, které je navázáno na ukončený instrument, se hodnota atributu může měnit, nicméně pro tyto instrumenty není aktualizace požadována.</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Realizovatelná hodnota zajištění pro výpočet kapitálového požadavku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U zajištění, které je navázáno na ukončený instrument, se hodnota atributu může měnit, nicméně pro tyto instrumenty není aktualizace požadována.</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 xml:space="preserve">Kumulativní cash </w:t>
                  </w:r>
                  <w:proofErr w:type="spellStart"/>
                  <w:r w:rsidRPr="00463E1A">
                    <w:rPr>
                      <w:rFonts w:ascii="Times New Roman" w:hAnsi="Times New Roman"/>
                      <w:b/>
                      <w:color w:val="4F81BD" w:themeColor="accent1"/>
                      <w:szCs w:val="22"/>
                    </w:rPr>
                    <w:t>flow</w:t>
                  </w:r>
                  <w:proofErr w:type="spellEnd"/>
                  <w:r w:rsidRPr="00463E1A">
                    <w:rPr>
                      <w:rFonts w:ascii="Times New Roman" w:hAnsi="Times New Roman"/>
                      <w:b/>
                      <w:color w:val="4F81BD" w:themeColor="accent1"/>
                      <w:szCs w:val="22"/>
                    </w:rPr>
                    <w:t xml:space="preserve"> z realizace zajištění</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p>
              </w:tc>
              <w:tc>
                <w:tcPr>
                  <w:tcW w:w="4300" w:type="dxa"/>
                  <w:tcBorders>
                    <w:right w:val="nil"/>
                  </w:tcBorders>
                  <w:vAlign w:val="center"/>
                </w:tcPr>
                <w:p w:rsidR="006663ED" w:rsidRPr="00463E1A" w:rsidRDefault="006663ED" w:rsidP="00F8773C">
                  <w:pPr>
                    <w:rPr>
                      <w:rFonts w:ascii="Times New Roman" w:hAnsi="Times New Roman"/>
                      <w:b/>
                      <w:szCs w:val="22"/>
                    </w:rPr>
                  </w:pPr>
                  <w:r w:rsidRPr="00463E1A">
                    <w:rPr>
                      <w:rFonts w:ascii="Times New Roman" w:hAnsi="Times New Roman"/>
                      <w:b/>
                      <w:szCs w:val="22"/>
                    </w:rPr>
                    <w:t xml:space="preserve">Atribut nabývá nulové hodnoty, dokud nedojde k realizaci zajištění (např. v případě defaultu instrumentu). Pokud je zajištění realizováno, v období, kdy byly finanční prostředky připsány na účet banky, je vykázána kladná hodnota. </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Měna zajišťovacího prostředku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Roční příjem z pronájmu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r w:rsidRPr="00463E1A">
                    <w:rPr>
                      <w:rFonts w:ascii="Times New Roman" w:hAnsi="Times New Roman"/>
                      <w:szCs w:val="22"/>
                    </w:rPr>
                    <w:t xml:space="preserve"> OR NTAP</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r w:rsidRPr="00463E1A">
                    <w:rPr>
                      <w:rFonts w:ascii="Times New Roman" w:hAnsi="Times New Roman"/>
                      <w:szCs w:val="22"/>
                    </w:rPr>
                    <w:t xml:space="preserve"> OR NTAP</w:t>
                  </w:r>
                </w:p>
              </w:tc>
              <w:tc>
                <w:tcPr>
                  <w:tcW w:w="4300" w:type="dxa"/>
                  <w:tcBorders>
                    <w:right w:val="nil"/>
                  </w:tcBorders>
                  <w:vAlign w:val="center"/>
                </w:tcPr>
                <w:p w:rsidR="006663ED" w:rsidRPr="00463E1A" w:rsidRDefault="006663ED" w:rsidP="00F8773C">
                  <w:pPr>
                    <w:rPr>
                      <w:rFonts w:ascii="Times New Roman" w:hAnsi="Times New Roman"/>
                      <w:b/>
                      <w:szCs w:val="22"/>
                    </w:rPr>
                  </w:pPr>
                  <w:r w:rsidRPr="00463E1A">
                    <w:rPr>
                      <w:rFonts w:ascii="Times New Roman" w:hAnsi="Times New Roman"/>
                      <w:b/>
                      <w:szCs w:val="22"/>
                    </w:rPr>
                    <w:t xml:space="preserve">Pro typy zajištění, které jsou typu nemovitosti a zároveň určeny k pronájmu, bude reportována konkrétní hodnota, </w:t>
                  </w:r>
                  <w:r w:rsidRPr="00463E1A">
                    <w:rPr>
                      <w:rFonts w:ascii="Times New Roman" w:hAnsi="Times New Roman"/>
                      <w:b/>
                      <w:szCs w:val="22"/>
                    </w:rPr>
                    <w:lastRenderedPageBreak/>
                    <w:t>v ostatních případech hodnota „NTAP“.</w:t>
                  </w:r>
                </w:p>
              </w:tc>
            </w:tr>
            <w:tr w:rsidR="006663ED" w:rsidRPr="00463E1A" w:rsidTr="00F8773C">
              <w:trPr>
                <w:trHeight w:val="283"/>
                <w:jc w:val="center"/>
              </w:trPr>
              <w:tc>
                <w:tcPr>
                  <w:tcW w:w="2185" w:type="dxa"/>
                  <w:tcBorders>
                    <w:left w:val="nil"/>
                    <w:bottom w:val="single" w:sz="4" w:space="0" w:color="auto"/>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lastRenderedPageBreak/>
                    <w:t>Příznak řádku</w:t>
                  </w:r>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Standardní řádek</w:t>
                  </w:r>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Standardní řádek</w:t>
                  </w:r>
                </w:p>
              </w:tc>
              <w:tc>
                <w:tcPr>
                  <w:tcW w:w="4300" w:type="dxa"/>
                  <w:tcBorders>
                    <w:bottom w:val="single" w:sz="4" w:space="0" w:color="auto"/>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szCs w:val="22"/>
                    </w:rPr>
                    <w:t>Procesní atribut, který slouží ke konsolidaci dat v databázi ČNB. Hodnota tohoto atributu není podmíněna stavem instrumentu, v tomto případě jeho ukončením.</w:t>
                  </w:r>
                </w:p>
              </w:tc>
            </w:tr>
            <w:tr w:rsidR="006663ED" w:rsidRPr="00463E1A" w:rsidTr="00F8773C">
              <w:trPr>
                <w:trHeight w:val="283"/>
                <w:jc w:val="center"/>
              </w:trPr>
              <w:tc>
                <w:tcPr>
                  <w:tcW w:w="9457" w:type="dxa"/>
                  <w:gridSpan w:val="4"/>
                  <w:tcBorders>
                    <w:left w:val="nil"/>
                    <w:bottom w:val="single" w:sz="4" w:space="0" w:color="auto"/>
                    <w:right w:val="nil"/>
                  </w:tcBorders>
                  <w:vAlign w:val="center"/>
                </w:tcPr>
                <w:p w:rsidR="006663ED" w:rsidRPr="00463E1A" w:rsidRDefault="006663ED" w:rsidP="00F8773C">
                  <w:pPr>
                    <w:spacing w:before="240" w:after="120"/>
                    <w:jc w:val="both"/>
                    <w:rPr>
                      <w:rFonts w:ascii="Times New Roman" w:hAnsi="Times New Roman"/>
                      <w:szCs w:val="22"/>
                    </w:rPr>
                  </w:pPr>
                  <w:r w:rsidRPr="00463E1A">
                    <w:rPr>
                      <w:rFonts w:ascii="Times New Roman" w:hAnsi="Times New Roman"/>
                      <w:szCs w:val="22"/>
                    </w:rPr>
                    <w:t>PANACR08 je dynamický výkaz propojující informace o instrumentech a zajištěních. Pokud vykazující subjekty preferují variantu, kdy pro ukončené instrumenty není již reportováno příslušné zajištění ve výkazu PANACR07, potom nesmí být vykazovány ani záznamy v PANACR08. V případě preference reportingu zajištění pro ukončené instrumenty jsou atributy v PANACR08 vykazovány podle níže uvedeného postupu.</w:t>
                  </w:r>
                </w:p>
              </w:tc>
            </w:tr>
            <w:tr w:rsidR="006663ED" w:rsidRPr="00463E1A" w:rsidTr="00F8773C">
              <w:trPr>
                <w:trHeight w:val="283"/>
                <w:jc w:val="center"/>
              </w:trPr>
              <w:tc>
                <w:tcPr>
                  <w:tcW w:w="9457" w:type="dxa"/>
                  <w:gridSpan w:val="4"/>
                  <w:tcBorders>
                    <w:left w:val="nil"/>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color w:val="4F81BD" w:themeColor="accent1"/>
                      <w:szCs w:val="22"/>
                      <w:lang w:val="en-GB"/>
                    </w:rPr>
                    <w:t>PANACR08 (Instrument - protection received)</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Atribut</w:t>
                  </w:r>
                </w:p>
              </w:tc>
              <w:tc>
                <w:tcPr>
                  <w:tcW w:w="148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(T-1)</w:t>
                  </w:r>
                </w:p>
              </w:tc>
              <w:tc>
                <w:tcPr>
                  <w:tcW w:w="148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w:t>
                  </w:r>
                </w:p>
              </w:tc>
              <w:tc>
                <w:tcPr>
                  <w:tcW w:w="4300" w:type="dxa"/>
                  <w:tcBorders>
                    <w:righ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Poznámka</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sledovaného subjektu</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kontraktu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instrumentu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zajištění</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Přiřazená hodnota zajištění</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0.00</w:t>
                  </w:r>
                </w:p>
              </w:tc>
              <w:tc>
                <w:tcPr>
                  <w:tcW w:w="4300" w:type="dxa"/>
                  <w:tcBorders>
                    <w:right w:val="nil"/>
                  </w:tcBorders>
                  <w:vAlign w:val="center"/>
                </w:tcPr>
                <w:p w:rsidR="006663ED" w:rsidRPr="00463E1A" w:rsidRDefault="006663ED" w:rsidP="00F8773C">
                  <w:pPr>
                    <w:jc w:val="both"/>
                    <w:rPr>
                      <w:rFonts w:ascii="Times New Roman" w:hAnsi="Times New Roman"/>
                      <w:b/>
                      <w:szCs w:val="22"/>
                    </w:rPr>
                  </w:pPr>
                  <w:r w:rsidRPr="00463E1A">
                    <w:rPr>
                      <w:rFonts w:ascii="Times New Roman" w:hAnsi="Times New Roman"/>
                      <w:b/>
                      <w:szCs w:val="22"/>
                    </w:rPr>
                    <w:t>V období (T-1) musí atribut nabývat kladné hodnoty a v období (T) musí být atribut nulový.</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Přednostní pohledávky třetích osob ve vztahu k zajištění</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szCs w:val="22"/>
                    </w:rPr>
                    <w:t xml:space="preserve">Atribut vyjadřuje skutečnou hodnotu přednostních pohledávek třetích osob ve vztahu k danému zajištění, která se mezi obdobími (T-1) a (T) může měnit. </w:t>
                  </w:r>
                  <w:r w:rsidRPr="00463E1A">
                    <w:rPr>
                      <w:rFonts w:ascii="Times New Roman" w:hAnsi="Times New Roman"/>
                      <w:b/>
                      <w:szCs w:val="22"/>
                    </w:rPr>
                    <w:t>Pro ukončené instrumenty není potřeba aktualizaci provádět.</w:t>
                  </w:r>
                </w:p>
              </w:tc>
            </w:tr>
            <w:tr w:rsidR="006663ED" w:rsidRPr="00463E1A" w:rsidTr="00F8773C">
              <w:trPr>
                <w:trHeight w:val="283"/>
                <w:jc w:val="center"/>
              </w:trPr>
              <w:tc>
                <w:tcPr>
                  <w:tcW w:w="2185" w:type="dxa"/>
                  <w:tcBorders>
                    <w:left w:val="nil"/>
                    <w:bottom w:val="single" w:sz="4" w:space="0" w:color="auto"/>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Příznak řádku</w:t>
                  </w:r>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Standardní řádek</w:t>
                  </w:r>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Standardní řádek</w:t>
                  </w:r>
                </w:p>
              </w:tc>
              <w:tc>
                <w:tcPr>
                  <w:tcW w:w="4300" w:type="dxa"/>
                  <w:tcBorders>
                    <w:bottom w:val="single" w:sz="4" w:space="0" w:color="auto"/>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szCs w:val="22"/>
                    </w:rPr>
                    <w:t>Procesní atribut, který slouží ke konsolidaci dat v databázi ČNB. Hodnota tohoto atributu není podmíněna stavem instrumentu, v tomto případě jeho ukončením.</w:t>
                  </w:r>
                </w:p>
              </w:tc>
            </w:tr>
            <w:tr w:rsidR="006663ED" w:rsidRPr="00463E1A" w:rsidTr="00F8773C">
              <w:trPr>
                <w:trHeight w:val="283"/>
                <w:jc w:val="center"/>
              </w:trPr>
              <w:tc>
                <w:tcPr>
                  <w:tcW w:w="9457" w:type="dxa"/>
                  <w:gridSpan w:val="4"/>
                  <w:tcBorders>
                    <w:left w:val="nil"/>
                    <w:bottom w:val="single" w:sz="4" w:space="0" w:color="auto"/>
                    <w:right w:val="nil"/>
                  </w:tcBorders>
                  <w:vAlign w:val="center"/>
                </w:tcPr>
                <w:p w:rsidR="006663ED" w:rsidRPr="00463E1A" w:rsidRDefault="006663ED" w:rsidP="00F8773C">
                  <w:pPr>
                    <w:spacing w:before="240" w:after="120"/>
                    <w:jc w:val="both"/>
                    <w:rPr>
                      <w:rFonts w:ascii="Times New Roman" w:hAnsi="Times New Roman"/>
                      <w:szCs w:val="22"/>
                    </w:rPr>
                  </w:pPr>
                  <w:r w:rsidRPr="00463E1A">
                    <w:rPr>
                      <w:rFonts w:ascii="Times New Roman" w:hAnsi="Times New Roman"/>
                      <w:szCs w:val="22"/>
                    </w:rPr>
                    <w:t>Pro ukončené instrumenty není požadováno reportovat příslušné záznamy z výkazu PANACR09. Pokud vykazující subjekt z určitého důvodu preferuje zaslat odpovídající záznamy i k ukončeným instrumentům, postupuje podle návodu níže.</w:t>
                  </w:r>
                </w:p>
              </w:tc>
            </w:tr>
            <w:tr w:rsidR="006663ED" w:rsidRPr="00463E1A" w:rsidTr="00F8773C">
              <w:trPr>
                <w:trHeight w:val="283"/>
                <w:jc w:val="center"/>
              </w:trPr>
              <w:tc>
                <w:tcPr>
                  <w:tcW w:w="9457" w:type="dxa"/>
                  <w:gridSpan w:val="4"/>
                  <w:tcBorders>
                    <w:left w:val="nil"/>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color w:val="4F81BD" w:themeColor="accent1"/>
                      <w:szCs w:val="22"/>
                      <w:lang w:val="en-GB"/>
                    </w:rPr>
                    <w:t>PANACR09 (Counterparty risk)</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Atribut</w:t>
                  </w:r>
                </w:p>
              </w:tc>
              <w:tc>
                <w:tcPr>
                  <w:tcW w:w="148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(T-1)</w:t>
                  </w:r>
                </w:p>
              </w:tc>
              <w:tc>
                <w:tcPr>
                  <w:tcW w:w="148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w:t>
                  </w:r>
                </w:p>
              </w:tc>
              <w:tc>
                <w:tcPr>
                  <w:tcW w:w="4300" w:type="dxa"/>
                  <w:tcBorders>
                    <w:righ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Poznámka</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sledovaného subjektu</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protistrany</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Typ protistrany</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 xml:space="preserve">Atribut se nemění. </w:t>
                  </w:r>
                  <w:r w:rsidRPr="00463E1A">
                    <w:rPr>
                      <w:rFonts w:ascii="Times New Roman" w:hAnsi="Times New Roman"/>
                      <w:szCs w:val="22"/>
                    </w:rPr>
                    <w:t>Velká většina záznamů bude nabývat hodnoty „Právnická osoba s IČO“.</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Pravděpodobnost selhání</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x.xxxxxx</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x.xxxxxx</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Interní rating klienta</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bottom w:val="single" w:sz="4" w:space="0" w:color="auto"/>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lastRenderedPageBreak/>
                    <w:t>Příznak řádku</w:t>
                  </w:r>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Standardní řádek</w:t>
                  </w:r>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Standardní řádek</w:t>
                  </w:r>
                </w:p>
              </w:tc>
              <w:tc>
                <w:tcPr>
                  <w:tcW w:w="4300" w:type="dxa"/>
                  <w:tcBorders>
                    <w:bottom w:val="single" w:sz="4" w:space="0" w:color="auto"/>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szCs w:val="22"/>
                    </w:rPr>
                    <w:t>Procesní atribut, který slouží ke konsolidaci dat v databázi ČNB. Hodnota tohoto atributu není podmíněna stavem instrumentu, v tomto případě jeho ukončením.</w:t>
                  </w:r>
                </w:p>
              </w:tc>
            </w:tr>
            <w:tr w:rsidR="006663ED" w:rsidRPr="00463E1A" w:rsidTr="00F8773C">
              <w:trPr>
                <w:trHeight w:val="283"/>
                <w:jc w:val="center"/>
              </w:trPr>
              <w:tc>
                <w:tcPr>
                  <w:tcW w:w="9457" w:type="dxa"/>
                  <w:gridSpan w:val="4"/>
                  <w:tcBorders>
                    <w:left w:val="nil"/>
                    <w:right w:val="nil"/>
                  </w:tcBorders>
                  <w:vAlign w:val="center"/>
                </w:tcPr>
                <w:p w:rsidR="006663ED" w:rsidRPr="00463E1A" w:rsidRDefault="006663ED" w:rsidP="00F8773C">
                  <w:pPr>
                    <w:spacing w:before="240" w:after="120"/>
                    <w:jc w:val="both"/>
                    <w:rPr>
                      <w:rFonts w:ascii="Times New Roman" w:hAnsi="Times New Roman"/>
                      <w:szCs w:val="22"/>
                    </w:rPr>
                  </w:pPr>
                  <w:r w:rsidRPr="00463E1A">
                    <w:rPr>
                      <w:rFonts w:ascii="Times New Roman" w:hAnsi="Times New Roman"/>
                      <w:szCs w:val="22"/>
                    </w:rPr>
                    <w:t>Pro ukončené instrumenty není požadováno reportovat příslušné záznamy z výkazu PANACR10. Pokud vykazující subjekt z určitého důvodu preferuje zaslat odpovídající záznamy i k ukončeným instrumentům, postupuje podle návodu níže.</w:t>
                  </w:r>
                </w:p>
              </w:tc>
            </w:tr>
            <w:tr w:rsidR="006663ED" w:rsidRPr="00463E1A" w:rsidTr="00F8773C">
              <w:trPr>
                <w:trHeight w:val="283"/>
                <w:jc w:val="center"/>
              </w:trPr>
              <w:tc>
                <w:tcPr>
                  <w:tcW w:w="9457" w:type="dxa"/>
                  <w:gridSpan w:val="4"/>
                  <w:tcBorders>
                    <w:lef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color w:val="4F81BD" w:themeColor="accent1"/>
                      <w:szCs w:val="22"/>
                      <w:lang w:val="en-GB"/>
                    </w:rPr>
                    <w:t>PANACR10 (Counterparty default)</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Atribut</w:t>
                  </w:r>
                </w:p>
              </w:tc>
              <w:tc>
                <w:tcPr>
                  <w:tcW w:w="148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(T-1)</w:t>
                  </w:r>
                </w:p>
              </w:tc>
              <w:tc>
                <w:tcPr>
                  <w:tcW w:w="148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w:t>
                  </w:r>
                </w:p>
              </w:tc>
              <w:tc>
                <w:tcPr>
                  <w:tcW w:w="4300" w:type="dxa"/>
                  <w:tcBorders>
                    <w:righ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Poznámka</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sledovaného subjektu</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protistrany</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Typ protistrany</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r w:rsidRPr="00463E1A">
                    <w:rPr>
                      <w:rFonts w:ascii="Times New Roman" w:hAnsi="Times New Roman"/>
                      <w:szCs w:val="22"/>
                    </w:rPr>
                    <w:t xml:space="preserve"> Velká většina záznamů bude nabývat hodnoty „Právnická osoba s IČO“.</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Stav selhání protistrany</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 xml:space="preserve">Atribut se nemění. </w:t>
                  </w:r>
                  <w:r w:rsidRPr="00463E1A">
                    <w:rPr>
                      <w:rFonts w:ascii="Times New Roman" w:hAnsi="Times New Roman"/>
                      <w:szCs w:val="22"/>
                    </w:rPr>
                    <w:t xml:space="preserve">Atribut je reportován pouze v případě, že je stav selhání hodnocen na úrovni protistrany. Pokud je stav selhání hodnocen na úrovni instrumentu, potom není reportován žádný záznam do AnaCredit. </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Datum stavu selhání protistrany</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date</w:t>
                  </w:r>
                  <w:proofErr w:type="spellEnd"/>
                  <w:r w:rsidRPr="00463E1A">
                    <w:rPr>
                      <w:rFonts w:ascii="Times New Roman" w:hAnsi="Times New Roman"/>
                      <w:szCs w:val="22"/>
                    </w:rPr>
                    <w:t xml:space="preserve"> OR NTAP</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date</w:t>
                  </w:r>
                  <w:proofErr w:type="spellEnd"/>
                  <w:r w:rsidRPr="00463E1A">
                    <w:rPr>
                      <w:rFonts w:ascii="Times New Roman" w:hAnsi="Times New Roman"/>
                      <w:szCs w:val="22"/>
                    </w:rPr>
                    <w:t xml:space="preserve"> OR NTAP</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 xml:space="preserve">Atribut se nemění. </w:t>
                  </w:r>
                  <w:r w:rsidRPr="00463E1A">
                    <w:rPr>
                      <w:rFonts w:ascii="Times New Roman" w:hAnsi="Times New Roman"/>
                      <w:szCs w:val="22"/>
                    </w:rPr>
                    <w:t>Atribut přímo souvisí s atributem „Stav selhání protistrany“. Vzhledem k tomu, že se stav selhání nemění, nemění se ani tento atribut. Hodnota „NTAP“ je reportována v obou obdobích v případě, že protistrana nikdy nebyla v selhání a zároveň atribut „Stav selhání protistrany“ nabývá hodnoty „Není v selhání“.</w:t>
                  </w:r>
                </w:p>
              </w:tc>
            </w:tr>
            <w:tr w:rsidR="006663ED" w:rsidRPr="00463E1A" w:rsidTr="00F8773C">
              <w:trPr>
                <w:trHeight w:val="283"/>
                <w:jc w:val="center"/>
              </w:trPr>
              <w:tc>
                <w:tcPr>
                  <w:tcW w:w="2185" w:type="dxa"/>
                  <w:tcBorders>
                    <w:left w:val="nil"/>
                    <w:bottom w:val="single" w:sz="4" w:space="0" w:color="auto"/>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Příznak řádku</w:t>
                  </w:r>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Standardní řádek</w:t>
                  </w:r>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Standardní řádek</w:t>
                  </w:r>
                </w:p>
              </w:tc>
              <w:tc>
                <w:tcPr>
                  <w:tcW w:w="4300" w:type="dxa"/>
                  <w:tcBorders>
                    <w:bottom w:val="single" w:sz="4" w:space="0" w:color="auto"/>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szCs w:val="22"/>
                    </w:rPr>
                    <w:t>Procesní atribut, který slouží ke konsolidaci dat v databázi ČNB. Hodnota tohoto atributu není podmíněna stavem instrumentu, v tomto případě jeho ukončením.</w:t>
                  </w:r>
                </w:p>
              </w:tc>
            </w:tr>
            <w:tr w:rsidR="006663ED" w:rsidRPr="00463E1A" w:rsidTr="00F8773C">
              <w:trPr>
                <w:trHeight w:val="283"/>
                <w:jc w:val="center"/>
              </w:trPr>
              <w:tc>
                <w:tcPr>
                  <w:tcW w:w="9457" w:type="dxa"/>
                  <w:gridSpan w:val="4"/>
                  <w:tcBorders>
                    <w:left w:val="nil"/>
                    <w:right w:val="nil"/>
                  </w:tcBorders>
                  <w:vAlign w:val="center"/>
                </w:tcPr>
                <w:p w:rsidR="006663ED" w:rsidRPr="00463E1A" w:rsidRDefault="006663ED" w:rsidP="00F8773C">
                  <w:pPr>
                    <w:spacing w:before="120" w:after="120"/>
                    <w:jc w:val="both"/>
                    <w:rPr>
                      <w:rFonts w:ascii="Times New Roman" w:hAnsi="Times New Roman"/>
                      <w:szCs w:val="22"/>
                    </w:rPr>
                  </w:pPr>
                  <w:r w:rsidRPr="00463E1A">
                    <w:rPr>
                      <w:rFonts w:ascii="Times New Roman" w:hAnsi="Times New Roman"/>
                      <w:szCs w:val="22"/>
                    </w:rPr>
                    <w:t>Pro ukončené instrumenty je výkaz PANACR21 reportován pouze tehdy, pokud dochází ke vzniku nového instrumentu, jehož předchůdcem je aktuálně ukončovaný instrument. Např. v případě, kdy má klient 1 instrument, u něhož dochází k refinancování, a následkem této operace vzniká jeden nový instrument, který odráží dlužnou částku původního instrumentu (ale např. úroková sazba je nižší, smluvní datum splatnosti je déle apod.), potom jsou v daném období (T) reportovány oba instrumenty, přičemž jeden z nich zaniká a druhý vzniká. Výkaz PANACR21 je reportován pouze v období změny, tj. v období (T), a v předchozím období (T-1) a nadcházejícím období (T+1) nejsou ve výkazu PANACR21 reportovány žádné záznamy související s danými instrumenty.</w:t>
                  </w:r>
                </w:p>
                <w:p w:rsidR="006663ED" w:rsidRPr="00463E1A" w:rsidRDefault="006663ED" w:rsidP="00F8773C">
                  <w:pPr>
                    <w:spacing w:before="120" w:after="120"/>
                    <w:jc w:val="both"/>
                    <w:rPr>
                      <w:rFonts w:ascii="Times New Roman" w:hAnsi="Times New Roman"/>
                      <w:b/>
                      <w:color w:val="4F81BD" w:themeColor="accent1"/>
                      <w:szCs w:val="22"/>
                    </w:rPr>
                  </w:pPr>
                  <w:r w:rsidRPr="00463E1A">
                    <w:rPr>
                      <w:rFonts w:ascii="Times New Roman" w:hAnsi="Times New Roman"/>
                      <w:szCs w:val="22"/>
                    </w:rPr>
                    <w:t>V případech, kdy dochází pouze k úplnému splacení instrumentu klientem nebo k prodeji celého instrumentu jinému subjektu, výkaz PANACR21 není vůbec vykazován do AnaCredit.</w:t>
                  </w:r>
                </w:p>
              </w:tc>
            </w:tr>
            <w:tr w:rsidR="006663ED" w:rsidRPr="00463E1A" w:rsidTr="00F8773C">
              <w:trPr>
                <w:trHeight w:val="283"/>
                <w:jc w:val="center"/>
              </w:trPr>
              <w:tc>
                <w:tcPr>
                  <w:tcW w:w="9457" w:type="dxa"/>
                  <w:gridSpan w:val="4"/>
                  <w:tcBorders>
                    <w:left w:val="nil"/>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color w:val="4F81BD" w:themeColor="accent1"/>
                      <w:szCs w:val="22"/>
                      <w:lang w:val="en-GB"/>
                    </w:rPr>
                    <w:t>PANACR21 (Linked contract)</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Atribut</w:t>
                  </w:r>
                </w:p>
              </w:tc>
              <w:tc>
                <w:tcPr>
                  <w:tcW w:w="148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(T-1)</w:t>
                  </w:r>
                </w:p>
              </w:tc>
              <w:tc>
                <w:tcPr>
                  <w:tcW w:w="148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w:t>
                  </w:r>
                </w:p>
              </w:tc>
              <w:tc>
                <w:tcPr>
                  <w:tcW w:w="4300" w:type="dxa"/>
                  <w:tcBorders>
                    <w:righ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Poznámka</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sledovaného subjektu</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kontraktu</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lastRenderedPageBreak/>
                    <w:t>Identifikátor kontraktu - původní</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instrumentu</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instrumentu - původní</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Typ propojení</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Pokud je výkaz zasílán, v rámci tohoto atributu je vždy uvedena konkrétní hodnota z číselníku na základě operace, která vede k zániku původního instrumentu a vzniku nového.</w:t>
                  </w:r>
                </w:p>
              </w:tc>
            </w:tr>
            <w:tr w:rsidR="006663ED" w:rsidRPr="00463E1A" w:rsidTr="00F8773C">
              <w:trPr>
                <w:trHeight w:val="283"/>
                <w:jc w:val="center"/>
              </w:trPr>
              <w:tc>
                <w:tcPr>
                  <w:tcW w:w="2185" w:type="dxa"/>
                  <w:tcBorders>
                    <w:left w:val="nil"/>
                    <w:bottom w:val="single" w:sz="4" w:space="0" w:color="auto"/>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Příznak řádku</w:t>
                  </w:r>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w:t>
                  </w:r>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Standardní řádek</w:t>
                  </w:r>
                </w:p>
              </w:tc>
              <w:tc>
                <w:tcPr>
                  <w:tcW w:w="4300" w:type="dxa"/>
                  <w:tcBorders>
                    <w:bottom w:val="single" w:sz="4" w:space="0" w:color="auto"/>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szCs w:val="22"/>
                    </w:rPr>
                    <w:t>Procesní atribut, který slouží ke konsolidaci dat v databázi ČNB. Hodnota tohoto atributu není podmíněna stavem instrumentu, v tomto případě jeho ukončením.</w:t>
                  </w:r>
                </w:p>
              </w:tc>
            </w:tr>
            <w:tr w:rsidR="006663ED" w:rsidRPr="00463E1A" w:rsidTr="00F8773C">
              <w:trPr>
                <w:trHeight w:val="283"/>
                <w:jc w:val="center"/>
              </w:trPr>
              <w:tc>
                <w:tcPr>
                  <w:tcW w:w="9457" w:type="dxa"/>
                  <w:gridSpan w:val="4"/>
                  <w:tcBorders>
                    <w:left w:val="nil"/>
                    <w:bottom w:val="single" w:sz="4" w:space="0" w:color="auto"/>
                    <w:right w:val="nil"/>
                  </w:tcBorders>
                  <w:vAlign w:val="center"/>
                </w:tcPr>
                <w:p w:rsidR="006663ED" w:rsidRPr="00463E1A" w:rsidRDefault="006663ED" w:rsidP="00F8773C">
                  <w:pPr>
                    <w:spacing w:before="120" w:after="120"/>
                    <w:jc w:val="both"/>
                    <w:rPr>
                      <w:rFonts w:ascii="Times New Roman" w:hAnsi="Times New Roman"/>
                      <w:szCs w:val="22"/>
                    </w:rPr>
                  </w:pPr>
                  <w:r w:rsidRPr="00463E1A">
                    <w:rPr>
                      <w:rFonts w:ascii="Times New Roman" w:hAnsi="Times New Roman"/>
                      <w:szCs w:val="22"/>
                    </w:rPr>
                    <w:t>PANACR22 je čtvrtletní výkaz, který je dynamického charakteru, a odráží skutečnost daného instrumentu v příslušném období. V případě ukončených instrumentů nabývají některé atributy předem stanovených hodnot. Pokud je instrument ukončen v měsíci, který zároveň není čtvrtletím, potom se k tomuto instrumentu nevykazují žádná data z PANACR22, tj. výkaz není vůbec předmětem reportingu pro dané období. V podstatě to znamená, že ukončené instrumenty nemusí být vykazovány do konce čtvrtletí, jako tomu je v případě odepsaných instrumentů.</w:t>
                  </w:r>
                </w:p>
              </w:tc>
            </w:tr>
            <w:tr w:rsidR="006663ED" w:rsidRPr="00463E1A" w:rsidTr="00F8773C">
              <w:trPr>
                <w:trHeight w:val="283"/>
                <w:jc w:val="center"/>
              </w:trPr>
              <w:tc>
                <w:tcPr>
                  <w:tcW w:w="9457" w:type="dxa"/>
                  <w:gridSpan w:val="4"/>
                  <w:tcBorders>
                    <w:left w:val="nil"/>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color w:val="4F81BD" w:themeColor="accent1"/>
                      <w:szCs w:val="22"/>
                      <w:lang w:val="en-GB"/>
                    </w:rPr>
                    <w:t>PANACR22 (Credit risk)</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Atribut</w:t>
                  </w:r>
                </w:p>
              </w:tc>
              <w:tc>
                <w:tcPr>
                  <w:tcW w:w="148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(T-3)</w:t>
                  </w:r>
                </w:p>
              </w:tc>
              <w:tc>
                <w:tcPr>
                  <w:tcW w:w="148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w:t>
                  </w:r>
                </w:p>
              </w:tc>
              <w:tc>
                <w:tcPr>
                  <w:tcW w:w="4300" w:type="dxa"/>
                  <w:tcBorders>
                    <w:righ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Poznámka</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sledovaného subjektu</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kontraktu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instrumentu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expozice</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zajištění</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Typ expozice</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Třída expozice</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Přístup kapitálové kalkulace pro obezřetnostní účely</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Finanční kolaterál: upravená hodnota</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number</w:t>
                  </w:r>
                  <w:proofErr w:type="spellEnd"/>
                  <w:r w:rsidRPr="00463E1A">
                    <w:rPr>
                      <w:rFonts w:ascii="Times New Roman" w:hAnsi="Times New Roman"/>
                      <w:szCs w:val="22"/>
                    </w:rPr>
                    <w:t xml:space="preserve"> OR NTAP</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number</w:t>
                  </w:r>
                  <w:proofErr w:type="spellEnd"/>
                  <w:r w:rsidRPr="00463E1A">
                    <w:rPr>
                      <w:rFonts w:ascii="Times New Roman" w:hAnsi="Times New Roman"/>
                      <w:szCs w:val="22"/>
                    </w:rPr>
                    <w:t xml:space="preserve"> OR NTAP</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Hodnota rizikově vážené expozice</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r w:rsidRPr="00463E1A">
                    <w:rPr>
                      <w:rFonts w:ascii="Times New Roman" w:hAnsi="Times New Roman"/>
                      <w:szCs w:val="22"/>
                    </w:rPr>
                    <w:t xml:space="preserve"> OR NTAP</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0.00 OR NTAP</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 xml:space="preserve">V období (T) musí být atribut nulový. </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Riziková váha</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number</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number</w:t>
                  </w:r>
                  <w:proofErr w:type="spellEnd"/>
                  <w:r w:rsidRPr="00463E1A">
                    <w:rPr>
                      <w:rFonts w:ascii="Times New Roman" w:hAnsi="Times New Roman"/>
                      <w:szCs w:val="22"/>
                    </w:rPr>
                    <w:t xml:space="preserve"> </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LGD v normálních ekonomických časech</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number</w:t>
                  </w:r>
                  <w:proofErr w:type="spellEnd"/>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0.00</w:t>
                  </w:r>
                </w:p>
              </w:tc>
              <w:tc>
                <w:tcPr>
                  <w:tcW w:w="4300" w:type="dxa"/>
                  <w:tcBorders>
                    <w:right w:val="nil"/>
                  </w:tcBorders>
                  <w:vAlign w:val="center"/>
                </w:tcPr>
                <w:p w:rsidR="006663ED" w:rsidRPr="00463E1A" w:rsidRDefault="006663ED" w:rsidP="00F8773C">
                  <w:pPr>
                    <w:rPr>
                      <w:rFonts w:ascii="Times New Roman" w:hAnsi="Times New Roman"/>
                      <w:b/>
                      <w:szCs w:val="22"/>
                    </w:rPr>
                  </w:pPr>
                  <w:r w:rsidRPr="00463E1A">
                    <w:rPr>
                      <w:rFonts w:ascii="Times New Roman" w:hAnsi="Times New Roman"/>
                      <w:b/>
                      <w:szCs w:val="22"/>
                    </w:rPr>
                    <w:t>V období (T) musí být atribut nulový.</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LGD v dobách ekonomického poklesu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number</w:t>
                  </w:r>
                  <w:proofErr w:type="spellEnd"/>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0.00</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V období (T) musí být atribut nulový.</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Hodnota expozice</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number</w:t>
                  </w:r>
                  <w:proofErr w:type="spellEnd"/>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0.00</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V období (T) musí být atribut nulový.</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lastRenderedPageBreak/>
                    <w:t>Původní hodnota expozice před vynásobením konverzními faktory</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r w:rsidRPr="00463E1A">
                    <w:rPr>
                      <w:rFonts w:ascii="Times New Roman" w:hAnsi="Times New Roman"/>
                      <w:szCs w:val="22"/>
                    </w:rPr>
                    <w:t xml:space="preserve"> OR NTAP</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r w:rsidRPr="00463E1A">
                    <w:rPr>
                      <w:rFonts w:ascii="Times New Roman" w:hAnsi="Times New Roman"/>
                      <w:szCs w:val="22"/>
                    </w:rPr>
                    <w:t xml:space="preserve"> OR NTAP</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Výše očekávané ztráty</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number</w:t>
                  </w:r>
                  <w:proofErr w:type="spellEnd"/>
                  <w:r w:rsidRPr="00463E1A">
                    <w:rPr>
                      <w:rFonts w:ascii="Times New Roman" w:hAnsi="Times New Roman"/>
                      <w:szCs w:val="22"/>
                    </w:rPr>
                    <w:t xml:space="preserve"> OR NTAP</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0.00 OR NTAP</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Pokud vykazující subjekt aplikuje standardizovaný přístup, potom v období (T) může atribut nabývat hodnoty ‘NTAP‘. Pokud instituce aplikuje IRB přístup, potom atribut v období (T) musí nabývat nulové hodnoty.</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Expozice malým a středním podnikům podléhající podpůrným faktorům pro kapitálové požadavky</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Úvěrový konverzní faktor</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number</w:t>
                  </w:r>
                  <w:proofErr w:type="spellEnd"/>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0.000000</w:t>
                  </w:r>
                </w:p>
              </w:tc>
              <w:tc>
                <w:tcPr>
                  <w:tcW w:w="4300" w:type="dxa"/>
                  <w:tcBorders>
                    <w:right w:val="nil"/>
                  </w:tcBorders>
                  <w:vAlign w:val="center"/>
                </w:tcPr>
                <w:p w:rsidR="006663ED" w:rsidRPr="00463E1A" w:rsidRDefault="006663ED" w:rsidP="00F8773C">
                  <w:pPr>
                    <w:rPr>
                      <w:rFonts w:ascii="Times New Roman" w:hAnsi="Times New Roman"/>
                      <w:b/>
                      <w:szCs w:val="22"/>
                    </w:rPr>
                  </w:pPr>
                  <w:r w:rsidRPr="00463E1A">
                    <w:rPr>
                      <w:rFonts w:ascii="Times New Roman" w:hAnsi="Times New Roman"/>
                      <w:b/>
                      <w:szCs w:val="22"/>
                    </w:rPr>
                    <w:t>V období (T) musí být atribut nulový.</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Pravděpodobnost selhání expozice</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number</w:t>
                  </w:r>
                  <w:proofErr w:type="spellEnd"/>
                  <w:r w:rsidRPr="00463E1A">
                    <w:rPr>
                      <w:rFonts w:ascii="Times New Roman" w:hAnsi="Times New Roman"/>
                      <w:szCs w:val="22"/>
                    </w:rPr>
                    <w:t xml:space="preserve"> OR NTAP</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0.000000 OR NTAP</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Hodnotu ‘NTAP‘ je možné reportovat v případě, že vykazující subjekt aplikuje standardizovaný přístup. Pokud vykazující subjekt aplikuje přístup IRB, potom atribut v období (T) musí nabývat nulové hodnoty.</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Interní rating expozice</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 xml:space="preserve">NTAP </w:t>
                  </w:r>
                  <w:proofErr w:type="spellStart"/>
                  <w:r w:rsidRPr="00463E1A">
                    <w:rPr>
                      <w:rFonts w:ascii="Times New Roman" w:hAnsi="Times New Roman"/>
                      <w:szCs w:val="22"/>
                    </w:rPr>
                    <w:t>or</w:t>
                  </w:r>
                  <w:proofErr w:type="spellEnd"/>
                  <w:r w:rsidRPr="00463E1A">
                    <w:rPr>
                      <w:rFonts w:ascii="Times New Roman" w:hAnsi="Times New Roman"/>
                      <w:szCs w:val="22"/>
                    </w:rPr>
                    <w:t xml:space="preserve"> </w:t>
                  </w:r>
                  <w:proofErr w:type="spellStart"/>
                  <w:r w:rsidRPr="00463E1A">
                    <w:rPr>
                      <w:rFonts w:ascii="Times New Roman" w:hAnsi="Times New Roman"/>
                      <w:szCs w:val="22"/>
                    </w:rPr>
                    <w:t>string</w:t>
                  </w:r>
                  <w:proofErr w:type="spellEnd"/>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 xml:space="preserve">NTAP </w:t>
                  </w:r>
                  <w:proofErr w:type="spellStart"/>
                  <w:r w:rsidRPr="00463E1A">
                    <w:rPr>
                      <w:rFonts w:ascii="Times New Roman" w:hAnsi="Times New Roman"/>
                      <w:szCs w:val="22"/>
                    </w:rPr>
                    <w:t>or</w:t>
                  </w:r>
                  <w:proofErr w:type="spellEnd"/>
                  <w:r w:rsidRPr="00463E1A">
                    <w:rPr>
                      <w:rFonts w:ascii="Times New Roman" w:hAnsi="Times New Roman"/>
                      <w:szCs w:val="22"/>
                    </w:rPr>
                    <w:t xml:space="preserve"> </w:t>
                  </w:r>
                  <w:proofErr w:type="spellStart"/>
                  <w:r w:rsidRPr="00463E1A">
                    <w:rPr>
                      <w:rFonts w:ascii="Times New Roman" w:hAnsi="Times New Roman"/>
                      <w:szCs w:val="22"/>
                    </w:rPr>
                    <w:t>string</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r w:rsidRPr="00463E1A">
                    <w:rPr>
                      <w:rFonts w:ascii="Times New Roman" w:hAnsi="Times New Roman"/>
                      <w:szCs w:val="22"/>
                    </w:rPr>
                    <w:t xml:space="preserve"> Hodnotu ‘NTAP‘ je možné reportovat v případě, že vykazující subjekt aplikuje standardizovaný přístup. Pokud vykazující subjekt aplikuje přístup IRB, potom je vykázán atribut na základě stanoveného systému daného subjektu. </w:t>
                  </w:r>
                </w:p>
              </w:tc>
            </w:tr>
            <w:tr w:rsidR="006663ED" w:rsidRPr="00463E1A" w:rsidTr="00F8773C">
              <w:trPr>
                <w:trHeight w:val="283"/>
                <w:jc w:val="center"/>
              </w:trPr>
              <w:tc>
                <w:tcPr>
                  <w:tcW w:w="2185" w:type="dxa"/>
                  <w:tcBorders>
                    <w:left w:val="nil"/>
                    <w:bottom w:val="single" w:sz="4" w:space="0" w:color="auto"/>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Příznak řádku</w:t>
                  </w:r>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Standardní řádek</w:t>
                  </w:r>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Standardní řádek</w:t>
                  </w:r>
                </w:p>
              </w:tc>
              <w:tc>
                <w:tcPr>
                  <w:tcW w:w="4300" w:type="dxa"/>
                  <w:tcBorders>
                    <w:bottom w:val="single" w:sz="4" w:space="0" w:color="auto"/>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szCs w:val="22"/>
                    </w:rPr>
                    <w:t>Procesní atribut, který slouží ke konsolidaci dat v databázi ČNB. Hodnota tohoto atributu není podmíněna stavem instrumentu, v tomto případě jeho ukončením.</w:t>
                  </w:r>
                </w:p>
              </w:tc>
            </w:tr>
            <w:tr w:rsidR="006663ED" w:rsidRPr="00463E1A" w:rsidTr="00F8773C">
              <w:trPr>
                <w:trHeight w:val="283"/>
                <w:jc w:val="center"/>
              </w:trPr>
              <w:tc>
                <w:tcPr>
                  <w:tcW w:w="9457" w:type="dxa"/>
                  <w:gridSpan w:val="4"/>
                  <w:tcBorders>
                    <w:left w:val="nil"/>
                    <w:bottom w:val="single" w:sz="4" w:space="0" w:color="auto"/>
                    <w:right w:val="nil"/>
                  </w:tcBorders>
                  <w:vAlign w:val="center"/>
                </w:tcPr>
                <w:p w:rsidR="006663ED" w:rsidRPr="00463E1A" w:rsidRDefault="006663ED" w:rsidP="00F8773C">
                  <w:pPr>
                    <w:spacing w:before="240" w:after="120"/>
                    <w:jc w:val="both"/>
                    <w:rPr>
                      <w:rFonts w:ascii="Times New Roman" w:hAnsi="Times New Roman"/>
                      <w:szCs w:val="22"/>
                    </w:rPr>
                  </w:pPr>
                  <w:r w:rsidRPr="00463E1A">
                    <w:rPr>
                      <w:rFonts w:ascii="Times New Roman" w:hAnsi="Times New Roman"/>
                      <w:szCs w:val="22"/>
                    </w:rPr>
                    <w:t>Pro ukončené instrumenty není požadováno reportovat příslušné záznamy z výkazu PANACR23. Pokud vykazující subjekt z určitého důvodu preferuje zaslat odpovídající záznamy i k ukončeným instrumentům, postupuje podle návodu níže.</w:t>
                  </w:r>
                </w:p>
              </w:tc>
            </w:tr>
            <w:tr w:rsidR="006663ED" w:rsidRPr="00463E1A" w:rsidTr="00F8773C">
              <w:trPr>
                <w:trHeight w:val="283"/>
                <w:jc w:val="center"/>
              </w:trPr>
              <w:tc>
                <w:tcPr>
                  <w:tcW w:w="9457" w:type="dxa"/>
                  <w:gridSpan w:val="4"/>
                  <w:tcBorders>
                    <w:top w:val="single" w:sz="4" w:space="0" w:color="auto"/>
                    <w:left w:val="nil"/>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color w:val="4F81BD" w:themeColor="accent1"/>
                      <w:szCs w:val="22"/>
                      <w:lang w:val="en-GB"/>
                    </w:rPr>
                    <w:t>PANACR23 (Group of connected clients)</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Atribut</w:t>
                  </w:r>
                </w:p>
              </w:tc>
              <w:tc>
                <w:tcPr>
                  <w:tcW w:w="148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(T-1)</w:t>
                  </w:r>
                </w:p>
              </w:tc>
              <w:tc>
                <w:tcPr>
                  <w:tcW w:w="148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w:t>
                  </w:r>
                </w:p>
              </w:tc>
              <w:tc>
                <w:tcPr>
                  <w:tcW w:w="4300" w:type="dxa"/>
                  <w:tcBorders>
                    <w:righ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Poznámka</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sledovaného subjektu</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protistrany</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skupiny ekonomicky spjatých klientů</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Název skupiny ekonomicky spjatých klientů</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Příznak řádku</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Standardní řádek</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Standardní řádek</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szCs w:val="22"/>
                    </w:rPr>
                    <w:t>Procesní atribut, který slouží ke konsolidaci dat v databázi ČNB. Hodnota tohoto atributu není podmíněna stavem instrumentu, v tomto případě jeho ukončením.</w:t>
                  </w:r>
                </w:p>
              </w:tc>
            </w:tr>
          </w:tbl>
          <w:p w:rsidR="006663ED" w:rsidRPr="00463E1A" w:rsidRDefault="006663ED" w:rsidP="00F8773C">
            <w:pPr>
              <w:spacing w:after="120"/>
              <w:rPr>
                <w:rFonts w:ascii="Times New Roman" w:hAnsi="Times New Roman"/>
                <w:szCs w:val="22"/>
              </w:rPr>
            </w:pPr>
          </w:p>
        </w:tc>
      </w:tr>
    </w:tbl>
    <w:p w:rsidR="000E00EF" w:rsidRPr="00463E1A" w:rsidRDefault="000E00EF" w:rsidP="000E00EF">
      <w:pPr>
        <w:rPr>
          <w:szCs w:val="22"/>
        </w:rPr>
      </w:pPr>
    </w:p>
    <w:p w:rsidR="000E00EF" w:rsidRPr="00463E1A" w:rsidRDefault="000E00EF" w:rsidP="000E00EF">
      <w:pPr>
        <w:rPr>
          <w:szCs w:val="22"/>
        </w:rPr>
      </w:pPr>
    </w:p>
    <w:p w:rsidR="006663ED" w:rsidRPr="00463E1A" w:rsidRDefault="006663ED" w:rsidP="002E7506">
      <w:pPr>
        <w:pStyle w:val="Heading2"/>
        <w:rPr>
          <w:rFonts w:ascii="Times New Roman" w:hAnsi="Times New Roman"/>
        </w:rPr>
      </w:pPr>
      <w:bookmarkStart w:id="40" w:name="_Toc270688"/>
      <w:bookmarkStart w:id="41" w:name="_Toc769536"/>
      <w:r w:rsidRPr="00463E1A">
        <w:rPr>
          <w:rFonts w:ascii="Times New Roman" w:hAnsi="Times New Roman"/>
        </w:rPr>
        <w:t>Podrozvahové instrumenty</w:t>
      </w:r>
      <w:bookmarkEnd w:id="40"/>
      <w:bookmarkEnd w:id="41"/>
    </w:p>
    <w:tbl>
      <w:tblPr>
        <w:tblStyle w:val="TableGrid"/>
        <w:tblW w:w="9693" w:type="dxa"/>
        <w:jc w:val="center"/>
        <w:tblInd w:w="-896" w:type="dxa"/>
        <w:tblBorders>
          <w:top w:val="none" w:sz="0" w:space="0" w:color="auto"/>
          <w:bottom w:val="none" w:sz="0" w:space="0" w:color="auto"/>
        </w:tblBorders>
        <w:shd w:val="clear" w:color="auto" w:fill="FFFFFF" w:themeFill="background1"/>
        <w:tblLook w:val="04A0" w:firstRow="1" w:lastRow="0" w:firstColumn="1" w:lastColumn="0" w:noHBand="0" w:noVBand="1"/>
      </w:tblPr>
      <w:tblGrid>
        <w:gridCol w:w="9693"/>
      </w:tblGrid>
      <w:tr w:rsidR="006663ED" w:rsidRPr="00463E1A" w:rsidTr="00463E1A">
        <w:trPr>
          <w:trHeight w:val="397"/>
          <w:jc w:val="center"/>
        </w:trPr>
        <w:tc>
          <w:tcPr>
            <w:tcW w:w="9693" w:type="dxa"/>
            <w:shd w:val="clear" w:color="auto" w:fill="FFFFFF" w:themeFill="background1"/>
            <w:vAlign w:val="center"/>
          </w:tcPr>
          <w:p w:rsidR="006663ED" w:rsidRPr="00463E1A" w:rsidRDefault="006663ED" w:rsidP="00F8773C">
            <w:pPr>
              <w:rPr>
                <w:rFonts w:ascii="Times New Roman" w:hAnsi="Times New Roman"/>
                <w:b/>
                <w:szCs w:val="22"/>
              </w:rPr>
            </w:pPr>
            <w:r w:rsidRPr="00463E1A">
              <w:rPr>
                <w:rFonts w:ascii="Times New Roman" w:hAnsi="Times New Roman"/>
                <w:b/>
                <w:color w:val="4F81BD" w:themeColor="accent1"/>
                <w:szCs w:val="22"/>
              </w:rPr>
              <w:t>Příklad 3</w:t>
            </w:r>
          </w:p>
        </w:tc>
      </w:tr>
      <w:tr w:rsidR="006663ED" w:rsidRPr="00463E1A" w:rsidTr="00463E1A">
        <w:trPr>
          <w:trHeight w:val="1531"/>
          <w:jc w:val="center"/>
        </w:trPr>
        <w:tc>
          <w:tcPr>
            <w:tcW w:w="9693" w:type="dxa"/>
            <w:shd w:val="clear" w:color="auto" w:fill="FFFFFF" w:themeFill="background1"/>
            <w:vAlign w:val="center"/>
          </w:tcPr>
          <w:p w:rsidR="006663ED" w:rsidRPr="00463E1A" w:rsidRDefault="006663ED" w:rsidP="00F8773C">
            <w:pPr>
              <w:spacing w:before="120" w:after="240"/>
              <w:jc w:val="both"/>
              <w:rPr>
                <w:rFonts w:ascii="Times New Roman" w:hAnsi="Times New Roman"/>
                <w:szCs w:val="22"/>
              </w:rPr>
            </w:pPr>
            <w:r w:rsidRPr="00463E1A">
              <w:rPr>
                <w:rFonts w:ascii="Times New Roman" w:hAnsi="Times New Roman"/>
                <w:szCs w:val="22"/>
              </w:rPr>
              <w:t>Ilustrativní příklad znázorňuje, jakým způsobem jsou reportovány jednotlivé výkazy v případě, že dochází k ukončení instrumentu v podrozvaze. Pro účely tohoto příkladu představuje období (T-1) referenční datum 28/02/2019 a období (T) referenční datum 31/03/2019. Zároveň je pro názornou ukázku vykazování čtvrtletních výkazů použito období (T</w:t>
            </w:r>
            <w:r w:rsidRPr="00463E1A">
              <w:rPr>
                <w:rFonts w:ascii="Times New Roman" w:hAnsi="Times New Roman"/>
                <w:szCs w:val="22"/>
              </w:rPr>
              <w:noBreakHyphen/>
              <w:t>3), což představuje referenční období 31/12/2018. Pro zlepšení přehlednosti a orientace nepředstavuje příklad níže reálný reporting (některé kódy jsou nahrazeny konkrétními hodnotami).</w:t>
            </w:r>
          </w:p>
          <w:p w:rsidR="006663ED" w:rsidRPr="00463E1A" w:rsidRDefault="006663ED" w:rsidP="00F8773C">
            <w:pPr>
              <w:spacing w:before="240" w:after="120"/>
              <w:jc w:val="both"/>
              <w:rPr>
                <w:rFonts w:ascii="Times New Roman" w:hAnsi="Times New Roman"/>
                <w:szCs w:val="22"/>
              </w:rPr>
            </w:pPr>
            <w:r w:rsidRPr="00463E1A">
              <w:rPr>
                <w:rFonts w:ascii="Times New Roman" w:hAnsi="Times New Roman"/>
                <w:szCs w:val="22"/>
              </w:rPr>
              <w:t>Výkaz PANACR02 je tzv. statický výkaz, což znamená, že většina zachycených informací se v průběhu života instrumentu vůbec nemění (v některých případech ani nesmí měnit) a jsou konstantní napříč jednotlivými referenčními obdobími. V případě ukončených instrumentů je nezbytné v PANACR02 změnit vždy atribut „Stav instrumentu“, který indikuje tuto skutečnost.</w:t>
            </w:r>
          </w:p>
          <w:tbl>
            <w:tblPr>
              <w:tblStyle w:val="TableGrid"/>
              <w:tblW w:w="9457" w:type="dxa"/>
              <w:jc w:val="center"/>
              <w:tblLook w:val="04A0" w:firstRow="1" w:lastRow="0" w:firstColumn="1" w:lastColumn="0" w:noHBand="0" w:noVBand="1"/>
            </w:tblPr>
            <w:tblGrid>
              <w:gridCol w:w="2185"/>
              <w:gridCol w:w="1486"/>
              <w:gridCol w:w="1486"/>
              <w:gridCol w:w="4300"/>
            </w:tblGrid>
            <w:tr w:rsidR="006663ED" w:rsidRPr="00463E1A" w:rsidTr="00F8773C">
              <w:trPr>
                <w:jc w:val="center"/>
              </w:trPr>
              <w:tc>
                <w:tcPr>
                  <w:tcW w:w="9457" w:type="dxa"/>
                  <w:gridSpan w:val="4"/>
                  <w:tcBorders>
                    <w:left w:val="nil"/>
                    <w:right w:val="nil"/>
                  </w:tcBorders>
                  <w:vAlign w:val="center"/>
                </w:tcPr>
                <w:p w:rsidR="006663ED" w:rsidRPr="00463E1A" w:rsidRDefault="006663ED" w:rsidP="00F8773C">
                  <w:pPr>
                    <w:rPr>
                      <w:rFonts w:ascii="Times New Roman" w:hAnsi="Times New Roman"/>
                      <w:b/>
                      <w:color w:val="4F81BD" w:themeColor="accent1"/>
                      <w:szCs w:val="22"/>
                      <w:lang w:val="en-GB"/>
                    </w:rPr>
                  </w:pPr>
                  <w:r w:rsidRPr="00463E1A">
                    <w:rPr>
                      <w:rFonts w:ascii="Times New Roman" w:hAnsi="Times New Roman"/>
                      <w:b/>
                      <w:color w:val="4F81BD" w:themeColor="accent1"/>
                      <w:szCs w:val="22"/>
                      <w:lang w:val="en-GB"/>
                    </w:rPr>
                    <w:t>PANACR02 (Instrument)</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Atribut</w:t>
                  </w:r>
                </w:p>
              </w:tc>
              <w:tc>
                <w:tcPr>
                  <w:tcW w:w="148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(T-1)</w:t>
                  </w:r>
                </w:p>
              </w:tc>
              <w:tc>
                <w:tcPr>
                  <w:tcW w:w="148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w:t>
                  </w:r>
                </w:p>
              </w:tc>
              <w:tc>
                <w:tcPr>
                  <w:tcW w:w="4300" w:type="dxa"/>
                  <w:tcBorders>
                    <w:righ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Poznámka</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sledovaného subjektu</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4300" w:type="dxa"/>
                  <w:tcBorders>
                    <w:right w:val="nil"/>
                  </w:tcBorders>
                  <w:vAlign w:val="center"/>
                </w:tcPr>
                <w:p w:rsidR="006663ED" w:rsidRPr="00463E1A" w:rsidRDefault="006663ED" w:rsidP="00F8773C">
                  <w:pPr>
                    <w:jc w:val="both"/>
                    <w:rPr>
                      <w:rFonts w:ascii="Times New Roman" w:hAnsi="Times New Roman"/>
                      <w:b/>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kontraktu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bottom w:val="single" w:sz="4" w:space="0" w:color="auto"/>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instrumentu</w:t>
                  </w:r>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bottom w:val="single" w:sz="4" w:space="0" w:color="auto"/>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Typ instrumentu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Úvěr na projektové financování</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Měna</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Datum vzniku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dd.mm.yyyy</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dd.mm.yyyy</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bottom w:val="single" w:sz="4" w:space="0" w:color="auto"/>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Datum vypořádání</w:t>
                  </w:r>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dd.mm.yyyy</w:t>
                  </w:r>
                  <w:proofErr w:type="spellEnd"/>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dd.mm.yyyy</w:t>
                  </w:r>
                  <w:proofErr w:type="spellEnd"/>
                </w:p>
              </w:tc>
              <w:tc>
                <w:tcPr>
                  <w:tcW w:w="4300" w:type="dxa"/>
                  <w:tcBorders>
                    <w:bottom w:val="single" w:sz="4" w:space="0" w:color="auto"/>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Smluvní datum splatnosti</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dd.mm.yyyy</w:t>
                  </w:r>
                  <w:proofErr w:type="spellEnd"/>
                  <w:r w:rsidRPr="00463E1A">
                    <w:rPr>
                      <w:rFonts w:ascii="Times New Roman" w:hAnsi="Times New Roman"/>
                      <w:szCs w:val="22"/>
                    </w:rPr>
                    <w:t xml:space="preserve"> OR NTAP</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dd.mm.yyyy</w:t>
                  </w:r>
                  <w:proofErr w:type="spellEnd"/>
                  <w:r w:rsidRPr="00463E1A">
                    <w:rPr>
                      <w:rFonts w:ascii="Times New Roman" w:hAnsi="Times New Roman"/>
                      <w:szCs w:val="22"/>
                    </w:rPr>
                    <w:t xml:space="preserve"> OR NTAP</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Rekurs</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Typ úrokové sazby</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Frekvence přenastavení úrokové sazby</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Datum konce období, kdy se platí pouze úroky</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Referenční sazba</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Rozpětí/marže úrokové sazby</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bottom w:val="single" w:sz="4" w:space="0" w:color="auto"/>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Horní hranice úrokové sazby</w:t>
                  </w:r>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4300" w:type="dxa"/>
                  <w:tcBorders>
                    <w:bottom w:val="single" w:sz="4" w:space="0" w:color="auto"/>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Dolní hranice úrokové sazby</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Účel instrumentu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Způsob umořování dluhu</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lastRenderedPageBreak/>
                    <w:t>Četnost splátek</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syndikovaného úvěru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Podřízený dluh</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Práva na splacení</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Fiduciární instrument</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Výše závazku při vzniku instrumentu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Změny reálné hodnoty v důsledku změny úvěrového rizika před nákupem instrumentu</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4300" w:type="dxa"/>
                  <w:tcBorders>
                    <w:bottom w:val="single" w:sz="4" w:space="0" w:color="auto"/>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Odvolatelnost podrozvahové položky</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Stav instrumentu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jc w:val="both"/>
                    <w:rPr>
                      <w:rFonts w:ascii="Times New Roman" w:hAnsi="Times New Roman"/>
                      <w:b/>
                      <w:szCs w:val="22"/>
                    </w:rPr>
                  </w:pPr>
                  <w:r w:rsidRPr="00463E1A">
                    <w:rPr>
                      <w:rFonts w:ascii="Times New Roman" w:hAnsi="Times New Roman"/>
                      <w:b/>
                      <w:szCs w:val="22"/>
                    </w:rPr>
                    <w:t>V případě ukončení instrumentu musí atribut „Stav instrumentu“ indikovat tuto skutečnost. V období (T) musí být reportována hodnota „Pohledávka ukončená bez čerpání“, „Vyrovnaná pohledávka v rámci banky“, „Vyrovnaná pohledávka převodem k jiné bance“ nebo „Vyrovnaná pohledávka převodem mimo bankovní sektor“.</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Sporná pohledávka</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bottom w:val="single" w:sz="4" w:space="0" w:color="auto"/>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Příznak řádku</w:t>
                  </w:r>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Standardní řádek</w:t>
                  </w:r>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Standardní řádek</w:t>
                  </w:r>
                </w:p>
              </w:tc>
              <w:tc>
                <w:tcPr>
                  <w:tcW w:w="4300" w:type="dxa"/>
                  <w:tcBorders>
                    <w:bottom w:val="single" w:sz="4" w:space="0" w:color="auto"/>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szCs w:val="22"/>
                    </w:rPr>
                    <w:t>Procesní atribut, který slouží ke konsolidaci dat v databázi ČNB. Hodnota tohoto atributu není podmíněna stavem instrumentu, v tomto případě jeho ukončením.</w:t>
                  </w:r>
                </w:p>
              </w:tc>
            </w:tr>
            <w:tr w:rsidR="006663ED" w:rsidRPr="00463E1A" w:rsidTr="00F8773C">
              <w:trPr>
                <w:trHeight w:val="283"/>
                <w:jc w:val="center"/>
              </w:trPr>
              <w:tc>
                <w:tcPr>
                  <w:tcW w:w="9457" w:type="dxa"/>
                  <w:gridSpan w:val="4"/>
                  <w:tcBorders>
                    <w:left w:val="nil"/>
                    <w:bottom w:val="single" w:sz="4" w:space="0" w:color="auto"/>
                    <w:right w:val="nil"/>
                  </w:tcBorders>
                  <w:vAlign w:val="center"/>
                </w:tcPr>
                <w:p w:rsidR="006663ED" w:rsidRPr="00463E1A" w:rsidRDefault="006663ED" w:rsidP="00F8773C">
                  <w:pPr>
                    <w:spacing w:before="240" w:after="120"/>
                    <w:jc w:val="both"/>
                    <w:rPr>
                      <w:rFonts w:ascii="Times New Roman" w:hAnsi="Times New Roman"/>
                      <w:szCs w:val="22"/>
                    </w:rPr>
                  </w:pPr>
                  <w:r w:rsidRPr="00463E1A">
                    <w:rPr>
                      <w:rFonts w:ascii="Times New Roman" w:hAnsi="Times New Roman"/>
                      <w:szCs w:val="22"/>
                    </w:rPr>
                    <w:t>PANACR03 je dynamickým výkazem, který odráží aktuální stav daného instrumentu v jednotlivých obdobích, tudíž většina vykazovaných atributů se mění z období na období. V případě ukončených instrumentů je tak důležité, aby jednotlivé atributy odrážely tuto skutečnost.</w:t>
                  </w:r>
                </w:p>
              </w:tc>
            </w:tr>
            <w:tr w:rsidR="006663ED" w:rsidRPr="00463E1A" w:rsidTr="00F8773C">
              <w:trPr>
                <w:trHeight w:val="283"/>
                <w:jc w:val="center"/>
              </w:trPr>
              <w:tc>
                <w:tcPr>
                  <w:tcW w:w="9457" w:type="dxa"/>
                  <w:gridSpan w:val="4"/>
                  <w:tcBorders>
                    <w:left w:val="nil"/>
                    <w:right w:val="nil"/>
                  </w:tcBorders>
                  <w:vAlign w:val="center"/>
                </w:tcPr>
                <w:p w:rsidR="006663ED" w:rsidRPr="00463E1A" w:rsidRDefault="006663ED" w:rsidP="00F8773C">
                  <w:pPr>
                    <w:rPr>
                      <w:rFonts w:ascii="Times New Roman" w:hAnsi="Times New Roman"/>
                      <w:b/>
                      <w:color w:val="4F81BD" w:themeColor="accent1"/>
                      <w:szCs w:val="22"/>
                      <w:lang w:val="en-GB"/>
                    </w:rPr>
                  </w:pPr>
                  <w:r w:rsidRPr="00463E1A">
                    <w:rPr>
                      <w:rFonts w:ascii="Times New Roman" w:hAnsi="Times New Roman"/>
                      <w:b/>
                      <w:color w:val="4F81BD" w:themeColor="accent1"/>
                      <w:szCs w:val="22"/>
                      <w:lang w:val="en-GB"/>
                    </w:rPr>
                    <w:t>PANACR03 (Financial)</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Atribut</w:t>
                  </w:r>
                </w:p>
              </w:tc>
              <w:tc>
                <w:tcPr>
                  <w:tcW w:w="148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(T-1)</w:t>
                  </w:r>
                </w:p>
              </w:tc>
              <w:tc>
                <w:tcPr>
                  <w:tcW w:w="148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w:t>
                  </w:r>
                </w:p>
              </w:tc>
              <w:tc>
                <w:tcPr>
                  <w:tcW w:w="4300" w:type="dxa"/>
                  <w:tcBorders>
                    <w:righ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Poznámka</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sledovaného subjektu</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kontraktu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instrumentu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Úroková sazba</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Datum příštího přenastavení úrokové sazby</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Stav selhání instrumentu</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 xml:space="preserve">Datum stavu selhání </w:t>
                  </w:r>
                  <w:r w:rsidRPr="00463E1A">
                    <w:rPr>
                      <w:rFonts w:ascii="Times New Roman" w:hAnsi="Times New Roman"/>
                      <w:b/>
                      <w:color w:val="4F81BD" w:themeColor="accent1"/>
                      <w:szCs w:val="22"/>
                    </w:rPr>
                    <w:lastRenderedPageBreak/>
                    <w:t>instrumentu</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lastRenderedPageBreak/>
                    <w:t>NTAP</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lastRenderedPageBreak/>
                    <w:t>Převáděná částka</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4300" w:type="dxa"/>
                  <w:tcBorders>
                    <w:right w:val="nil"/>
                  </w:tcBorders>
                  <w:vAlign w:val="center"/>
                </w:tcPr>
                <w:p w:rsidR="006663ED" w:rsidRPr="00463E1A" w:rsidRDefault="006663ED" w:rsidP="00F8773C">
                  <w:pPr>
                    <w:jc w:val="both"/>
                    <w:rPr>
                      <w:rFonts w:ascii="Times New Roman" w:hAnsi="Times New Roman"/>
                      <w:b/>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Nedoplatky za instrument: jistina</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Nedoplatky za instrument: úroky a poplatky</w:t>
                  </w:r>
                </w:p>
              </w:tc>
              <w:tc>
                <w:tcPr>
                  <w:tcW w:w="1486" w:type="dxa"/>
                  <w:vAlign w:val="center"/>
                </w:tcPr>
                <w:p w:rsidR="006663ED" w:rsidRPr="00463E1A" w:rsidRDefault="006663ED" w:rsidP="00F8773C">
                  <w:pPr>
                    <w:rPr>
                      <w:rFonts w:ascii="Times New Roman" w:hAnsi="Times New Roman"/>
                      <w:szCs w:val="22"/>
                      <w:lang w:val="en-US"/>
                    </w:rPr>
                  </w:pPr>
                  <w:r w:rsidRPr="00463E1A">
                    <w:rPr>
                      <w:rFonts w:ascii="Times New Roman" w:hAnsi="Times New Roman"/>
                      <w:szCs w:val="22"/>
                    </w:rPr>
                    <w:t>NTAP</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Datum instrumentu po splatnosti</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 xml:space="preserve">Typ </w:t>
                  </w:r>
                  <w:proofErr w:type="spellStart"/>
                  <w:r w:rsidRPr="00463E1A">
                    <w:rPr>
                      <w:rFonts w:ascii="Times New Roman" w:hAnsi="Times New Roman"/>
                      <w:b/>
                      <w:color w:val="4F81BD" w:themeColor="accent1"/>
                      <w:szCs w:val="22"/>
                    </w:rPr>
                    <w:t>sekuritizace</w:t>
                  </w:r>
                  <w:proofErr w:type="spellEnd"/>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Nesplacená nominální hodnota</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0.00</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0.00</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 xml:space="preserve">Atribut se nemění. </w:t>
                  </w:r>
                  <w:r w:rsidRPr="00463E1A">
                    <w:rPr>
                      <w:rFonts w:ascii="Times New Roman" w:hAnsi="Times New Roman"/>
                      <w:szCs w:val="22"/>
                    </w:rPr>
                    <w:t>Pro podrozvahové instrumenty je vždy nulový.</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Naběhlý úrok</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lang w:val="en-US"/>
                    </w:rPr>
                    <w:t>NTAP</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4300" w:type="dxa"/>
                  <w:tcBorders>
                    <w:right w:val="nil"/>
                  </w:tcBorders>
                  <w:vAlign w:val="center"/>
                </w:tcPr>
                <w:p w:rsidR="006663ED" w:rsidRPr="00463E1A" w:rsidRDefault="006663ED" w:rsidP="00F8773C">
                  <w:pPr>
                    <w:jc w:val="both"/>
                    <w:rPr>
                      <w:rFonts w:ascii="Times New Roman" w:hAnsi="Times New Roman"/>
                      <w:b/>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Hodnota podrozvahových položek</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0.00</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musí být v období (T) nulový.</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Bezúročný úvěr</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lang w:val="en-US"/>
                    </w:rPr>
                    <w:t>NTAP</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szCs w:val="22"/>
                    </w:rPr>
                    <w:t xml:space="preserve">Tento atribut by měl být relevantní především pro úvěry z kreditních karet. </w:t>
                  </w: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Úročený úvěr</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szCs w:val="22"/>
                    </w:rPr>
                    <w:t xml:space="preserve">Tento atribut by měl být relevantní především pro úvěry z kreditních karet. </w:t>
                  </w: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Efektivní úroková sazba</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bottom w:val="single" w:sz="4" w:space="0" w:color="auto"/>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Příznak řádku</w:t>
                  </w:r>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Standardní řádek</w:t>
                  </w:r>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Standardní řádek</w:t>
                  </w:r>
                </w:p>
              </w:tc>
              <w:tc>
                <w:tcPr>
                  <w:tcW w:w="4300" w:type="dxa"/>
                  <w:tcBorders>
                    <w:bottom w:val="single" w:sz="4" w:space="0" w:color="auto"/>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szCs w:val="22"/>
                    </w:rPr>
                    <w:t>Procesní atribut, který slouží ke konsolidaci dat v databázi ČNB. Hodnota tohoto atributu není podmíněna stavem instrumentu, v tomto případě jeho ukončením.</w:t>
                  </w:r>
                </w:p>
              </w:tc>
            </w:tr>
            <w:tr w:rsidR="006663ED" w:rsidRPr="00463E1A" w:rsidTr="00F8773C">
              <w:trPr>
                <w:trHeight w:val="283"/>
                <w:jc w:val="center"/>
              </w:trPr>
              <w:tc>
                <w:tcPr>
                  <w:tcW w:w="9457" w:type="dxa"/>
                  <w:gridSpan w:val="4"/>
                  <w:tcBorders>
                    <w:left w:val="nil"/>
                    <w:bottom w:val="single" w:sz="4" w:space="0" w:color="auto"/>
                    <w:right w:val="nil"/>
                  </w:tcBorders>
                  <w:vAlign w:val="center"/>
                </w:tcPr>
                <w:p w:rsidR="006663ED" w:rsidRPr="00463E1A" w:rsidRDefault="006663ED" w:rsidP="00F8773C">
                  <w:pPr>
                    <w:spacing w:before="240" w:after="120"/>
                    <w:jc w:val="both"/>
                    <w:rPr>
                      <w:rFonts w:ascii="Times New Roman" w:hAnsi="Times New Roman"/>
                      <w:szCs w:val="22"/>
                    </w:rPr>
                  </w:pPr>
                  <w:r w:rsidRPr="00463E1A">
                    <w:rPr>
                      <w:rFonts w:ascii="Times New Roman" w:hAnsi="Times New Roman"/>
                      <w:szCs w:val="22"/>
                    </w:rPr>
                    <w:t>PANACR04 je statický výkaz, v rámci kterého se nemění žádné atributy pro ukončené instrumenty.</w:t>
                  </w:r>
                </w:p>
              </w:tc>
            </w:tr>
            <w:tr w:rsidR="006663ED" w:rsidRPr="00463E1A" w:rsidTr="00F8773C">
              <w:trPr>
                <w:trHeight w:val="283"/>
                <w:jc w:val="center"/>
              </w:trPr>
              <w:tc>
                <w:tcPr>
                  <w:tcW w:w="9457" w:type="dxa"/>
                  <w:gridSpan w:val="4"/>
                  <w:tcBorders>
                    <w:left w:val="nil"/>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color w:val="4F81BD" w:themeColor="accent1"/>
                      <w:szCs w:val="22"/>
                      <w:lang w:val="en-GB"/>
                    </w:rPr>
                    <w:t>PANACR04 (Counterparty - Instrument)</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Atribut</w:t>
                  </w:r>
                </w:p>
              </w:tc>
              <w:tc>
                <w:tcPr>
                  <w:tcW w:w="148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(T-1)</w:t>
                  </w:r>
                </w:p>
              </w:tc>
              <w:tc>
                <w:tcPr>
                  <w:tcW w:w="148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w:t>
                  </w:r>
                </w:p>
              </w:tc>
              <w:tc>
                <w:tcPr>
                  <w:tcW w:w="4300" w:type="dxa"/>
                  <w:tcBorders>
                    <w:righ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Poznámka</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sledovaného subjektu</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kontraktu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instrumentu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protistrany</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Typ protistrany</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r w:rsidRPr="00463E1A">
                    <w:rPr>
                      <w:rFonts w:ascii="Times New Roman" w:hAnsi="Times New Roman"/>
                      <w:szCs w:val="22"/>
                    </w:rPr>
                    <w:t xml:space="preserve"> Velká většina záznamů bude nabývat hodnoty „Právnická osoba s IČO“.</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Role protistrany</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Národní identifikátor</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r w:rsidRPr="00463E1A">
                    <w:rPr>
                      <w:rFonts w:ascii="Times New Roman" w:hAnsi="Times New Roman"/>
                      <w:szCs w:val="22"/>
                    </w:rPr>
                    <w:t xml:space="preserve"> Pro české klienty bude reportováno především IČO, tj. 8-místný číselný kód.</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Obchodní jednotka banky</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bottom w:val="single" w:sz="4" w:space="0" w:color="auto"/>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Příznak řádku</w:t>
                  </w:r>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Standardní řádek</w:t>
                  </w:r>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Standardní řádek</w:t>
                  </w:r>
                </w:p>
              </w:tc>
              <w:tc>
                <w:tcPr>
                  <w:tcW w:w="4300" w:type="dxa"/>
                  <w:tcBorders>
                    <w:bottom w:val="single" w:sz="4" w:space="0" w:color="auto"/>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szCs w:val="22"/>
                    </w:rPr>
                    <w:t xml:space="preserve">Procesní atribut, který slouží ke konsolidaci dat v databázi ČNB. Hodnota tohoto atributu není podmíněna stavem instrumentu, v tomto </w:t>
                  </w:r>
                  <w:r w:rsidRPr="00463E1A">
                    <w:rPr>
                      <w:rFonts w:ascii="Times New Roman" w:hAnsi="Times New Roman"/>
                      <w:szCs w:val="22"/>
                    </w:rPr>
                    <w:lastRenderedPageBreak/>
                    <w:t>případě jeho ukončením.</w:t>
                  </w:r>
                </w:p>
              </w:tc>
            </w:tr>
            <w:tr w:rsidR="006663ED" w:rsidRPr="00463E1A" w:rsidTr="00F8773C">
              <w:trPr>
                <w:trHeight w:val="283"/>
                <w:jc w:val="center"/>
              </w:trPr>
              <w:tc>
                <w:tcPr>
                  <w:tcW w:w="9457" w:type="dxa"/>
                  <w:gridSpan w:val="4"/>
                  <w:tcBorders>
                    <w:left w:val="nil"/>
                    <w:right w:val="nil"/>
                  </w:tcBorders>
                  <w:vAlign w:val="center"/>
                </w:tcPr>
                <w:p w:rsidR="006663ED" w:rsidRPr="00463E1A" w:rsidRDefault="006663ED" w:rsidP="00F8773C">
                  <w:pPr>
                    <w:spacing w:before="240" w:after="120"/>
                    <w:jc w:val="both"/>
                    <w:rPr>
                      <w:rFonts w:ascii="Times New Roman" w:hAnsi="Times New Roman"/>
                      <w:szCs w:val="22"/>
                    </w:rPr>
                  </w:pPr>
                  <w:r w:rsidRPr="00463E1A">
                    <w:rPr>
                      <w:rFonts w:ascii="Times New Roman" w:hAnsi="Times New Roman"/>
                      <w:szCs w:val="22"/>
                    </w:rPr>
                    <w:lastRenderedPageBreak/>
                    <w:t xml:space="preserve">Výkaz PANACR05 je reportován do AnaCredit pouze v případě, že je s daným instrumentem spjata více než jedna protistrana v roli dlužníka. Pokud jsou s daným instrumentem spjati dva dlužníci a obě tyto protistrany jsou právnickými osobami podléhající reportingu do AnaCredit, potom jsou v rámci výkazu PANACR05 reportovány dva záznamy. Pokud jsou však s instrumentem spjaty dva dlužníci, přičemž jeden z nich je právnická osoba a druhým je fyzická osoba, potom je v rámci PANACR05 reportován pouze jeden záznam. Přestože je v rámci PANACR05 reportována pouze právnická osoba a její podíl na celkovém dluhu, víme, že k danému instrumentu existuje ještě minimálně jeden další dlužník, který je však fyzickou osobou, a není tak předmětem reportingu do AnaCredit. V případě, že je s daným instrumentem spjatý pouze jeden dlužník (právnická osoba), potom v rámci PANACR05 není reportován žádný záznam. </w:t>
                  </w:r>
                </w:p>
              </w:tc>
            </w:tr>
            <w:tr w:rsidR="006663ED" w:rsidRPr="00463E1A" w:rsidTr="00F8773C">
              <w:trPr>
                <w:trHeight w:val="283"/>
                <w:jc w:val="center"/>
              </w:trPr>
              <w:tc>
                <w:tcPr>
                  <w:tcW w:w="9457" w:type="dxa"/>
                  <w:gridSpan w:val="4"/>
                  <w:tcBorders>
                    <w:left w:val="nil"/>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color w:val="4F81BD" w:themeColor="accent1"/>
                      <w:szCs w:val="22"/>
                      <w:lang w:val="en-GB"/>
                    </w:rPr>
                    <w:t>PANACR05 (Joint liabilities)</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Atribut</w:t>
                  </w:r>
                </w:p>
              </w:tc>
              <w:tc>
                <w:tcPr>
                  <w:tcW w:w="148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(T-1)</w:t>
                  </w:r>
                </w:p>
              </w:tc>
              <w:tc>
                <w:tcPr>
                  <w:tcW w:w="148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w:t>
                  </w:r>
                </w:p>
              </w:tc>
              <w:tc>
                <w:tcPr>
                  <w:tcW w:w="4300" w:type="dxa"/>
                  <w:tcBorders>
                    <w:righ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Poznámka</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sledovaného subjektu</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kontraktu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instrumentu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protistrany</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Výše společných závazků</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0.00</w:t>
                  </w:r>
                </w:p>
              </w:tc>
              <w:tc>
                <w:tcPr>
                  <w:tcW w:w="4300" w:type="dxa"/>
                  <w:tcBorders>
                    <w:right w:val="nil"/>
                  </w:tcBorders>
                  <w:vAlign w:val="center"/>
                </w:tcPr>
                <w:p w:rsidR="006663ED" w:rsidRPr="00463E1A" w:rsidRDefault="006663ED" w:rsidP="00F8773C">
                  <w:pPr>
                    <w:jc w:val="both"/>
                    <w:rPr>
                      <w:rFonts w:ascii="Times New Roman" w:hAnsi="Times New Roman"/>
                      <w:b/>
                      <w:szCs w:val="22"/>
                    </w:rPr>
                  </w:pPr>
                  <w:r w:rsidRPr="00463E1A">
                    <w:rPr>
                      <w:rFonts w:ascii="Times New Roman" w:hAnsi="Times New Roman"/>
                      <w:b/>
                      <w:szCs w:val="22"/>
                    </w:rPr>
                    <w:t>Atribut musí být v období (T) nulový.</w:t>
                  </w:r>
                </w:p>
              </w:tc>
            </w:tr>
            <w:tr w:rsidR="006663ED" w:rsidRPr="00463E1A" w:rsidTr="00F8773C">
              <w:trPr>
                <w:trHeight w:val="283"/>
                <w:jc w:val="center"/>
              </w:trPr>
              <w:tc>
                <w:tcPr>
                  <w:tcW w:w="2185" w:type="dxa"/>
                  <w:tcBorders>
                    <w:left w:val="nil"/>
                    <w:bottom w:val="single" w:sz="4" w:space="0" w:color="auto"/>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Příznak řádku</w:t>
                  </w:r>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Standardní řádek</w:t>
                  </w:r>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Standardní řádek</w:t>
                  </w:r>
                </w:p>
              </w:tc>
              <w:tc>
                <w:tcPr>
                  <w:tcW w:w="4300" w:type="dxa"/>
                  <w:tcBorders>
                    <w:bottom w:val="single" w:sz="4" w:space="0" w:color="auto"/>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szCs w:val="22"/>
                    </w:rPr>
                    <w:t>Procesní atribut, který slouží ke konsolidaci dat v databázi ČNB. Hodnota tohoto atributu není podmíněna stavem instrumentu, v tomto případě jeho ukončením.</w:t>
                  </w:r>
                </w:p>
              </w:tc>
            </w:tr>
            <w:tr w:rsidR="006663ED" w:rsidRPr="00463E1A" w:rsidTr="00F8773C">
              <w:trPr>
                <w:trHeight w:val="283"/>
                <w:jc w:val="center"/>
              </w:trPr>
              <w:tc>
                <w:tcPr>
                  <w:tcW w:w="9457" w:type="dxa"/>
                  <w:gridSpan w:val="4"/>
                  <w:tcBorders>
                    <w:left w:val="nil"/>
                    <w:bottom w:val="single" w:sz="4" w:space="0" w:color="auto"/>
                    <w:right w:val="nil"/>
                  </w:tcBorders>
                  <w:vAlign w:val="center"/>
                </w:tcPr>
                <w:p w:rsidR="006663ED" w:rsidRPr="00463E1A" w:rsidRDefault="006663ED" w:rsidP="00F8773C">
                  <w:pPr>
                    <w:spacing w:before="240" w:after="120"/>
                    <w:jc w:val="both"/>
                    <w:rPr>
                      <w:rFonts w:ascii="Times New Roman" w:hAnsi="Times New Roman"/>
                      <w:szCs w:val="22"/>
                    </w:rPr>
                  </w:pPr>
                  <w:r w:rsidRPr="00463E1A">
                    <w:rPr>
                      <w:rFonts w:ascii="Times New Roman" w:hAnsi="Times New Roman"/>
                      <w:szCs w:val="22"/>
                    </w:rPr>
                    <w:t>PANACR06 je čtvrtletní výkaz, který je dynamického charakteru, a odráží skutečnost daného instrumentu v příslušném období. V případě ukončených instrumentů nabývají některé atributy předem stanovených hodnot. Pokud je instrument ukončen v měsíci, který zároveň není čtvrtletím, potom se k tomuto instrumentu nevykazují žádná data z PANACR06, tj. výkaz není vůbec předmětem reportingu pro dané období. V podstatě to znamená, že ukončené instrumenty nemusí být vykazovány do konce čtvrtletí, jako tomu je v případě odepsaných instrumentů.</w:t>
                  </w:r>
                </w:p>
              </w:tc>
            </w:tr>
            <w:tr w:rsidR="006663ED" w:rsidRPr="00463E1A" w:rsidTr="00F8773C">
              <w:trPr>
                <w:trHeight w:val="283"/>
                <w:jc w:val="center"/>
              </w:trPr>
              <w:tc>
                <w:tcPr>
                  <w:tcW w:w="9457" w:type="dxa"/>
                  <w:gridSpan w:val="4"/>
                  <w:tcBorders>
                    <w:left w:val="nil"/>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color w:val="4F81BD" w:themeColor="accent1"/>
                      <w:szCs w:val="22"/>
                      <w:lang w:val="en-GB"/>
                    </w:rPr>
                    <w:t>PANACR06 (Accounting)</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Atribut</w:t>
                  </w:r>
                </w:p>
              </w:tc>
              <w:tc>
                <w:tcPr>
                  <w:tcW w:w="148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(T-3)</w:t>
                  </w:r>
                </w:p>
              </w:tc>
              <w:tc>
                <w:tcPr>
                  <w:tcW w:w="148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w:t>
                  </w:r>
                </w:p>
              </w:tc>
              <w:tc>
                <w:tcPr>
                  <w:tcW w:w="4300" w:type="dxa"/>
                  <w:tcBorders>
                    <w:righ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Poznámka</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sledovaného subjektu</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kontraktu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instrumentu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Účetní klasifikace instrumentů</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r w:rsidRPr="00463E1A">
                    <w:rPr>
                      <w:rFonts w:ascii="Times New Roman" w:hAnsi="Times New Roman"/>
                      <w:szCs w:val="22"/>
                    </w:rPr>
                    <w:t xml:space="preserve"> OR NTAP</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r w:rsidRPr="00463E1A">
                    <w:rPr>
                      <w:rFonts w:ascii="Times New Roman" w:hAnsi="Times New Roman"/>
                      <w:szCs w:val="22"/>
                    </w:rPr>
                    <w:t xml:space="preserve"> OR NTAP</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Zachycení v rozvaze</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r w:rsidRPr="00463E1A">
                    <w:rPr>
                      <w:rFonts w:ascii="Times New Roman" w:hAnsi="Times New Roman"/>
                      <w:szCs w:val="22"/>
                    </w:rPr>
                    <w:t xml:space="preserve"> Pro podrozvahové instrumenty bude atribut nabývat zřejmě hodnoty „Odúčtováno v plném rozsahu“.</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Kumulované odpisy</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lang w:val="en-US"/>
                    </w:rPr>
                    <w:t>NTAP</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4300" w:type="dxa"/>
                  <w:tcBorders>
                    <w:right w:val="nil"/>
                  </w:tcBorders>
                  <w:vAlign w:val="center"/>
                </w:tcPr>
                <w:p w:rsidR="006663ED" w:rsidRPr="00463E1A" w:rsidRDefault="006663ED" w:rsidP="00F8773C">
                  <w:pPr>
                    <w:jc w:val="both"/>
                    <w:rPr>
                      <w:rFonts w:ascii="Times New Roman" w:hAnsi="Times New Roman"/>
                      <w:b/>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lastRenderedPageBreak/>
                    <w:t>Kumulované snížení hodnoty</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musí být v období (T) nulový nebo nabývat hodnoty „NTAP“.</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Typ snížení hodnoty</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Metoda posouzení snížení hodnoty</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Zdroje zatížení</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Kumulované změny reálné hodnoty v důsledku změny úvěrového rizika</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Stav výkonnosti instrumentu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Datum stavu výkonnosti instrumentu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dd.mm.yyyy</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dd.mm.yyyy</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Rezervy spojené s podrozvahovými položkami</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0.00</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musí být v období (T) nulový</w:t>
                  </w:r>
                  <w:r w:rsidRPr="00463E1A">
                    <w:rPr>
                      <w:rFonts w:ascii="Times New Roman" w:hAnsi="Times New Roman"/>
                      <w:szCs w:val="22"/>
                    </w:rPr>
                    <w:t>.</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Stav úlev a opětovných sjednání</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Datum stavu úlev a opětovných sjednání</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Kumulované úhrady od selhání</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 xml:space="preserve"> NTAP</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Obezřetnostní portfolio</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Účetní hodnota</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NTAP</w:t>
                  </w:r>
                </w:p>
              </w:tc>
              <w:tc>
                <w:tcPr>
                  <w:tcW w:w="4300" w:type="dxa"/>
                  <w:tcBorders>
                    <w:right w:val="nil"/>
                  </w:tcBorders>
                  <w:vAlign w:val="center"/>
                </w:tcPr>
                <w:p w:rsidR="006663ED" w:rsidRPr="00463E1A" w:rsidRDefault="006663ED" w:rsidP="00F8773C">
                  <w:pPr>
                    <w:rPr>
                      <w:rFonts w:ascii="Times New Roman" w:hAnsi="Times New Roman"/>
                      <w:b/>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bottom w:val="single" w:sz="4" w:space="0" w:color="auto"/>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Příznak řádku</w:t>
                  </w:r>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Standardní řádek</w:t>
                  </w:r>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Standardní řádek</w:t>
                  </w:r>
                </w:p>
              </w:tc>
              <w:tc>
                <w:tcPr>
                  <w:tcW w:w="4300" w:type="dxa"/>
                  <w:tcBorders>
                    <w:bottom w:val="single" w:sz="4" w:space="0" w:color="auto"/>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szCs w:val="22"/>
                    </w:rPr>
                    <w:t>Procesní atribut, který slouží ke konsolidaci dat v databázi ČNB. Hodnota tohoto atributu není podmíněna stavem instrumentu, v tomto případě jeho ukončením.</w:t>
                  </w:r>
                </w:p>
              </w:tc>
            </w:tr>
            <w:tr w:rsidR="006663ED" w:rsidRPr="00463E1A" w:rsidTr="00F8773C">
              <w:trPr>
                <w:trHeight w:val="283"/>
                <w:jc w:val="center"/>
              </w:trPr>
              <w:tc>
                <w:tcPr>
                  <w:tcW w:w="9457" w:type="dxa"/>
                  <w:gridSpan w:val="4"/>
                  <w:tcBorders>
                    <w:left w:val="nil"/>
                    <w:bottom w:val="single" w:sz="4" w:space="0" w:color="auto"/>
                    <w:right w:val="nil"/>
                  </w:tcBorders>
                  <w:vAlign w:val="center"/>
                </w:tcPr>
                <w:p w:rsidR="006663ED" w:rsidRPr="00463E1A" w:rsidRDefault="006663ED" w:rsidP="00F8773C">
                  <w:pPr>
                    <w:spacing w:before="240" w:after="120"/>
                    <w:jc w:val="both"/>
                    <w:rPr>
                      <w:rFonts w:ascii="Times New Roman" w:hAnsi="Times New Roman"/>
                      <w:szCs w:val="22"/>
                    </w:rPr>
                  </w:pPr>
                  <w:r w:rsidRPr="00463E1A">
                    <w:rPr>
                      <w:rFonts w:ascii="Times New Roman" w:hAnsi="Times New Roman"/>
                      <w:szCs w:val="22"/>
                    </w:rPr>
                    <w:t>Ve výkazu PANACR07 jsou reportovány informace ohledně zajištění, která jsou spjata s konkrétními instrumenty. V podstatě to znamená, že v PANACR07 by nemělo být reportováno žádné zajištění, které nebylo přiřazeno konkrétnímu instrumentu. Pro účely AnaCredit není třeba reportovat zajištění pro ukončené instrumenty. Pokud vykazující subjekty preferují tento přístup, zajištění je tedy naposledy vykázáno v období (T-1) a v období (T) už záznam reportovaný není. Pokud některé vykazující subjekty z různých (např. technických) důvodů upřednostňují reporting výkazu PANACR07 i pro ukončené instrumenty, níže uvedený postup je aplikovatelný a vyhovuje všem pravidlům.</w:t>
                  </w:r>
                </w:p>
              </w:tc>
            </w:tr>
            <w:tr w:rsidR="006663ED" w:rsidRPr="00463E1A" w:rsidTr="00F8773C">
              <w:trPr>
                <w:trHeight w:val="283"/>
                <w:jc w:val="center"/>
              </w:trPr>
              <w:tc>
                <w:tcPr>
                  <w:tcW w:w="9457" w:type="dxa"/>
                  <w:gridSpan w:val="4"/>
                  <w:tcBorders>
                    <w:left w:val="nil"/>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color w:val="4F81BD" w:themeColor="accent1"/>
                      <w:szCs w:val="22"/>
                      <w:lang w:val="en-GB"/>
                    </w:rPr>
                    <w:t>PANACR07 (Protection received)</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Atribut</w:t>
                  </w:r>
                </w:p>
              </w:tc>
              <w:tc>
                <w:tcPr>
                  <w:tcW w:w="148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(T-1)</w:t>
                  </w:r>
                </w:p>
              </w:tc>
              <w:tc>
                <w:tcPr>
                  <w:tcW w:w="148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w:t>
                  </w:r>
                </w:p>
              </w:tc>
              <w:tc>
                <w:tcPr>
                  <w:tcW w:w="4300" w:type="dxa"/>
                  <w:tcBorders>
                    <w:righ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Poznámka</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sledovaného subjektu</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zajištění</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ručitele</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 OR NTAP</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 OR NTAP</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Typ protistrany</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 xml:space="preserve">Atribut se nemění. </w:t>
                  </w:r>
                  <w:r w:rsidRPr="00463E1A">
                    <w:rPr>
                      <w:rFonts w:ascii="Times New Roman" w:hAnsi="Times New Roman"/>
                      <w:szCs w:val="22"/>
                    </w:rPr>
                    <w:t>Velká většina záznamů bude nabývat hodnoty „Právnická osoba s IČO“.</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Typ zajištění</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Hodnota zajištění</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 xml:space="preserve">Hodnota zajištění k aktuálnímu </w:t>
                  </w:r>
                  <w:r w:rsidRPr="00463E1A">
                    <w:rPr>
                      <w:rFonts w:ascii="Times New Roman" w:hAnsi="Times New Roman"/>
                      <w:b/>
                      <w:szCs w:val="22"/>
                    </w:rPr>
                    <w:lastRenderedPageBreak/>
                    <w:t>referenčnímu datu. Pro ukončené instrumenty není nutné zjišťovat aktuální hodnotu zajištění v období, kdy k ukončení instrumentu došlo.</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lastRenderedPageBreak/>
                    <w:t>Typ hodnoty zajištění</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Umístění zastavené nemovitosti</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r w:rsidRPr="00463E1A">
                    <w:rPr>
                      <w:rFonts w:ascii="Times New Roman" w:hAnsi="Times New Roman"/>
                      <w:szCs w:val="22"/>
                    </w:rPr>
                    <w:t xml:space="preserve"> OR NTAP</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r w:rsidRPr="00463E1A">
                    <w:rPr>
                      <w:rFonts w:ascii="Times New Roman" w:hAnsi="Times New Roman"/>
                      <w:szCs w:val="22"/>
                    </w:rPr>
                    <w:t xml:space="preserve"> OR NTAP</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 Hodnota „NTAP“ je vykazována pro zajištění typu nemovitosti.</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Datum hodnoty zajištění</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dd.mm.yyyy</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dd.mm.yyyy</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je přímo navázán na atribut „Hodnota zajištění“. Pokud se tento atribut nemění, potom se nemění ani datum.</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Datum splatnosti zajištění</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dd.mm.yyyy</w:t>
                  </w:r>
                  <w:proofErr w:type="spellEnd"/>
                  <w:r w:rsidRPr="00463E1A">
                    <w:rPr>
                      <w:rFonts w:ascii="Times New Roman" w:hAnsi="Times New Roman"/>
                      <w:szCs w:val="22"/>
                    </w:rPr>
                    <w:t xml:space="preserve"> OR NTAP</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dd.mm.yyyy</w:t>
                  </w:r>
                  <w:proofErr w:type="spellEnd"/>
                  <w:r w:rsidRPr="00463E1A">
                    <w:rPr>
                      <w:rFonts w:ascii="Times New Roman" w:hAnsi="Times New Roman"/>
                      <w:szCs w:val="22"/>
                    </w:rPr>
                    <w:t xml:space="preserve"> OR NTAP</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Způsob ocenění zajištění</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Původní hodnota zajištění</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Datum původního ocenění zajištění</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dd.mm.yyyy</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dd.mm.yyyy</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Detailní popis zajištění podle banky</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663ED" w:rsidRPr="00463E1A" w:rsidRDefault="006663ED" w:rsidP="00F8773C">
                  <w:pPr>
                    <w:jc w:val="both"/>
                    <w:rPr>
                      <w:rFonts w:ascii="Times New Roman" w:hAnsi="Times New Roman"/>
                      <w:b/>
                      <w:szCs w:val="22"/>
                    </w:rPr>
                  </w:pPr>
                  <w:r w:rsidRPr="00463E1A">
                    <w:rPr>
                      <w:rFonts w:ascii="Times New Roman" w:hAnsi="Times New Roman"/>
                      <w:b/>
                      <w:szCs w:val="22"/>
                    </w:rPr>
                    <w:t>U zajištění, které je navázáno na ukončený instrument, se popis může měnit, nicméně to není vyžadováno.</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Realizovatelná hodnota zajištění pro výpočet opravných položek a rezerv</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U zajištění, které je navázáno na ukončený instrument, se hodnota atributu může měnit, nicméně pro tyto instrumenty není aktualizace požadována.</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Realizovatelná hodnota zajištění pro výpočet kapitálového požadavku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U zajištění, které je navázáno na ukončený instrument, se hodnota atributu může měnit, nicméně pro tyto instrumenty není aktualizace požadována.</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 xml:space="preserve">Kumulativní cash </w:t>
                  </w:r>
                  <w:proofErr w:type="spellStart"/>
                  <w:r w:rsidRPr="00463E1A">
                    <w:rPr>
                      <w:rFonts w:ascii="Times New Roman" w:hAnsi="Times New Roman"/>
                      <w:b/>
                      <w:color w:val="4F81BD" w:themeColor="accent1"/>
                      <w:szCs w:val="22"/>
                    </w:rPr>
                    <w:t>flow</w:t>
                  </w:r>
                  <w:proofErr w:type="spellEnd"/>
                  <w:r w:rsidRPr="00463E1A">
                    <w:rPr>
                      <w:rFonts w:ascii="Times New Roman" w:hAnsi="Times New Roman"/>
                      <w:b/>
                      <w:color w:val="4F81BD" w:themeColor="accent1"/>
                      <w:szCs w:val="22"/>
                    </w:rPr>
                    <w:t xml:space="preserve"> z realizace zajištění</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p>
              </w:tc>
              <w:tc>
                <w:tcPr>
                  <w:tcW w:w="4300" w:type="dxa"/>
                  <w:tcBorders>
                    <w:right w:val="nil"/>
                  </w:tcBorders>
                  <w:vAlign w:val="center"/>
                </w:tcPr>
                <w:p w:rsidR="006663ED" w:rsidRPr="00463E1A" w:rsidRDefault="006663ED" w:rsidP="00F8773C">
                  <w:pPr>
                    <w:rPr>
                      <w:rFonts w:ascii="Times New Roman" w:hAnsi="Times New Roman"/>
                      <w:b/>
                      <w:szCs w:val="22"/>
                    </w:rPr>
                  </w:pPr>
                  <w:r w:rsidRPr="00463E1A">
                    <w:rPr>
                      <w:rFonts w:ascii="Times New Roman" w:hAnsi="Times New Roman"/>
                      <w:b/>
                      <w:szCs w:val="22"/>
                    </w:rPr>
                    <w:t xml:space="preserve">Atribut nabývá nulové hodnoty, dokud nedojde k realizaci zajištění (např. v případě defaultu instrumentu). Pokud je zajištění realizováno, v období, kdy byly finanční prostředky připsány na účet banky, je vykázána kladná hodnota. </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Měna zajišťovacího prostředku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Roční příjem z pronájmu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r w:rsidRPr="00463E1A">
                    <w:rPr>
                      <w:rFonts w:ascii="Times New Roman" w:hAnsi="Times New Roman"/>
                      <w:szCs w:val="22"/>
                    </w:rPr>
                    <w:t xml:space="preserve"> OR NTAP</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r w:rsidRPr="00463E1A">
                    <w:rPr>
                      <w:rFonts w:ascii="Times New Roman" w:hAnsi="Times New Roman"/>
                      <w:szCs w:val="22"/>
                    </w:rPr>
                    <w:t xml:space="preserve"> OR NTAP</w:t>
                  </w:r>
                </w:p>
              </w:tc>
              <w:tc>
                <w:tcPr>
                  <w:tcW w:w="4300" w:type="dxa"/>
                  <w:tcBorders>
                    <w:right w:val="nil"/>
                  </w:tcBorders>
                  <w:vAlign w:val="center"/>
                </w:tcPr>
                <w:p w:rsidR="006663ED" w:rsidRPr="00463E1A" w:rsidRDefault="006663ED" w:rsidP="00F8773C">
                  <w:pPr>
                    <w:rPr>
                      <w:rFonts w:ascii="Times New Roman" w:hAnsi="Times New Roman"/>
                      <w:b/>
                      <w:szCs w:val="22"/>
                    </w:rPr>
                  </w:pPr>
                  <w:r w:rsidRPr="00463E1A">
                    <w:rPr>
                      <w:rFonts w:ascii="Times New Roman" w:hAnsi="Times New Roman"/>
                      <w:b/>
                      <w:szCs w:val="22"/>
                    </w:rPr>
                    <w:t>Pro typy zajištění, které jsou typu nemovitosti a zároveň určeny k pronájmu, bude reportována konkrétní hodnota, v ostatních případech hodnota „NTAP“.</w:t>
                  </w:r>
                </w:p>
              </w:tc>
            </w:tr>
            <w:tr w:rsidR="006663ED" w:rsidRPr="00463E1A" w:rsidTr="00F8773C">
              <w:trPr>
                <w:trHeight w:val="283"/>
                <w:jc w:val="center"/>
              </w:trPr>
              <w:tc>
                <w:tcPr>
                  <w:tcW w:w="2185" w:type="dxa"/>
                  <w:tcBorders>
                    <w:left w:val="nil"/>
                    <w:bottom w:val="single" w:sz="4" w:space="0" w:color="auto"/>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Příznak řádku</w:t>
                  </w:r>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Standardní řádek</w:t>
                  </w:r>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Standardní řádek</w:t>
                  </w:r>
                </w:p>
              </w:tc>
              <w:tc>
                <w:tcPr>
                  <w:tcW w:w="4300" w:type="dxa"/>
                  <w:tcBorders>
                    <w:bottom w:val="single" w:sz="4" w:space="0" w:color="auto"/>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szCs w:val="22"/>
                    </w:rPr>
                    <w:t>Procesní atribut, který slouží ke konsolidaci dat v databázi ČNB. Hodnota tohoto atributu není podmíněna stavem instrumentu, v tomto případě jeho ukončením.</w:t>
                  </w:r>
                </w:p>
              </w:tc>
            </w:tr>
            <w:tr w:rsidR="006663ED" w:rsidRPr="00463E1A" w:rsidTr="00F8773C">
              <w:trPr>
                <w:trHeight w:val="283"/>
                <w:jc w:val="center"/>
              </w:trPr>
              <w:tc>
                <w:tcPr>
                  <w:tcW w:w="9457" w:type="dxa"/>
                  <w:gridSpan w:val="4"/>
                  <w:tcBorders>
                    <w:left w:val="nil"/>
                    <w:bottom w:val="single" w:sz="4" w:space="0" w:color="auto"/>
                    <w:right w:val="nil"/>
                  </w:tcBorders>
                  <w:vAlign w:val="center"/>
                </w:tcPr>
                <w:p w:rsidR="006663ED" w:rsidRPr="00463E1A" w:rsidRDefault="006663ED" w:rsidP="00F8773C">
                  <w:pPr>
                    <w:spacing w:before="240" w:after="120"/>
                    <w:jc w:val="both"/>
                    <w:rPr>
                      <w:rFonts w:ascii="Times New Roman" w:hAnsi="Times New Roman"/>
                      <w:szCs w:val="22"/>
                    </w:rPr>
                  </w:pPr>
                  <w:r w:rsidRPr="00463E1A">
                    <w:rPr>
                      <w:rFonts w:ascii="Times New Roman" w:hAnsi="Times New Roman"/>
                      <w:szCs w:val="22"/>
                    </w:rPr>
                    <w:t>PANACR08 je dynamický výkaz propojující informace o instrumentech a zajištěních. Pokud vykazující subjekty preferují variantu, kdy pro ukončené instrumenty není již reportováno příslušné zajištění ve výkazu PANACR07, potom nesmí být vykazovány ani záznamy v PANACR08. V případě reportingu zajištění pro ukončené instrumenty jsou atributy v PANACR08 vykazovány podle níže uvedeného postupu.</w:t>
                  </w:r>
                </w:p>
              </w:tc>
            </w:tr>
            <w:tr w:rsidR="006663ED" w:rsidRPr="00463E1A" w:rsidTr="00F8773C">
              <w:trPr>
                <w:trHeight w:val="283"/>
                <w:jc w:val="center"/>
              </w:trPr>
              <w:tc>
                <w:tcPr>
                  <w:tcW w:w="9457" w:type="dxa"/>
                  <w:gridSpan w:val="4"/>
                  <w:tcBorders>
                    <w:left w:val="nil"/>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color w:val="4F81BD" w:themeColor="accent1"/>
                      <w:szCs w:val="22"/>
                      <w:lang w:val="en-GB"/>
                    </w:rPr>
                    <w:lastRenderedPageBreak/>
                    <w:t>PANACR08 (Instrument - protection received)</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Atribut</w:t>
                  </w:r>
                </w:p>
              </w:tc>
              <w:tc>
                <w:tcPr>
                  <w:tcW w:w="148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(T-1)</w:t>
                  </w:r>
                </w:p>
              </w:tc>
              <w:tc>
                <w:tcPr>
                  <w:tcW w:w="148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w:t>
                  </w:r>
                </w:p>
              </w:tc>
              <w:tc>
                <w:tcPr>
                  <w:tcW w:w="4300" w:type="dxa"/>
                  <w:tcBorders>
                    <w:righ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Poznámka</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sledovaného subjektu</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kontraktu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instrumentu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zajištění</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Přiřazená hodnota zajištění</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0.00</w:t>
                  </w:r>
                </w:p>
              </w:tc>
              <w:tc>
                <w:tcPr>
                  <w:tcW w:w="4300" w:type="dxa"/>
                  <w:tcBorders>
                    <w:right w:val="nil"/>
                  </w:tcBorders>
                  <w:vAlign w:val="center"/>
                </w:tcPr>
                <w:p w:rsidR="006663ED" w:rsidRPr="00463E1A" w:rsidRDefault="006663ED" w:rsidP="00F8773C">
                  <w:pPr>
                    <w:jc w:val="both"/>
                    <w:rPr>
                      <w:rFonts w:ascii="Times New Roman" w:hAnsi="Times New Roman"/>
                      <w:b/>
                      <w:szCs w:val="22"/>
                    </w:rPr>
                  </w:pPr>
                  <w:r w:rsidRPr="00463E1A">
                    <w:rPr>
                      <w:rFonts w:ascii="Times New Roman" w:hAnsi="Times New Roman"/>
                      <w:b/>
                      <w:szCs w:val="22"/>
                    </w:rPr>
                    <w:t>V období (T-1) musí atribut nabývat kladné hodnoty a v období (T) musí být atribut nulový.</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Přednostní pohledávky třetích osob ve vztahu k zajištění</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szCs w:val="22"/>
                    </w:rPr>
                    <w:t xml:space="preserve">Atribut vyjadřuje skutečnou hodnotu přednostních pohledávek třetích osob ve vztahu k danému zajištění, která se mezi obdobími (T-1) a (T) může měnit. </w:t>
                  </w:r>
                  <w:r w:rsidRPr="00463E1A">
                    <w:rPr>
                      <w:rFonts w:ascii="Times New Roman" w:hAnsi="Times New Roman"/>
                      <w:b/>
                      <w:szCs w:val="22"/>
                    </w:rPr>
                    <w:t>Pro ukončené instrumenty není potřeba aktualizaci provádět.</w:t>
                  </w:r>
                </w:p>
              </w:tc>
            </w:tr>
            <w:tr w:rsidR="006663ED" w:rsidRPr="00463E1A" w:rsidTr="00F8773C">
              <w:trPr>
                <w:trHeight w:val="283"/>
                <w:jc w:val="center"/>
              </w:trPr>
              <w:tc>
                <w:tcPr>
                  <w:tcW w:w="2185" w:type="dxa"/>
                  <w:tcBorders>
                    <w:left w:val="nil"/>
                    <w:bottom w:val="single" w:sz="4" w:space="0" w:color="auto"/>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Příznak řádku</w:t>
                  </w:r>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Standardní řádek</w:t>
                  </w:r>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Standardní řádek</w:t>
                  </w:r>
                </w:p>
              </w:tc>
              <w:tc>
                <w:tcPr>
                  <w:tcW w:w="4300" w:type="dxa"/>
                  <w:tcBorders>
                    <w:bottom w:val="single" w:sz="4" w:space="0" w:color="auto"/>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szCs w:val="22"/>
                    </w:rPr>
                    <w:t>Procesní atribut, který slouží ke konsolidaci dat v databázi ČNB. Hodnota tohoto atributu není podmíněna stavem instrumentu, v tomto případě jeho ukončením.</w:t>
                  </w:r>
                </w:p>
              </w:tc>
            </w:tr>
            <w:tr w:rsidR="006663ED" w:rsidRPr="00463E1A" w:rsidTr="00F8773C">
              <w:trPr>
                <w:trHeight w:val="283"/>
                <w:jc w:val="center"/>
              </w:trPr>
              <w:tc>
                <w:tcPr>
                  <w:tcW w:w="9457" w:type="dxa"/>
                  <w:gridSpan w:val="4"/>
                  <w:tcBorders>
                    <w:left w:val="nil"/>
                    <w:bottom w:val="single" w:sz="4" w:space="0" w:color="auto"/>
                    <w:right w:val="nil"/>
                  </w:tcBorders>
                  <w:vAlign w:val="center"/>
                </w:tcPr>
                <w:p w:rsidR="006663ED" w:rsidRPr="00463E1A" w:rsidRDefault="006663ED" w:rsidP="00F8773C">
                  <w:pPr>
                    <w:spacing w:before="240" w:after="120"/>
                    <w:jc w:val="both"/>
                    <w:rPr>
                      <w:rFonts w:ascii="Times New Roman" w:hAnsi="Times New Roman"/>
                      <w:szCs w:val="22"/>
                    </w:rPr>
                  </w:pPr>
                  <w:r w:rsidRPr="00463E1A">
                    <w:rPr>
                      <w:rFonts w:ascii="Times New Roman" w:hAnsi="Times New Roman"/>
                      <w:szCs w:val="22"/>
                    </w:rPr>
                    <w:t>Pro ukončené instrumenty není požadováno reportovat příslušné záznamy z výkazu PANACR09. Pokud vykazující subjekt z určitého důvodu preferuje zaslat odpovídající záznamy i k ukončeným instrumentům, postupuje podle návodu níže.</w:t>
                  </w:r>
                </w:p>
              </w:tc>
            </w:tr>
            <w:tr w:rsidR="006663ED" w:rsidRPr="00463E1A" w:rsidTr="00F8773C">
              <w:trPr>
                <w:trHeight w:val="283"/>
                <w:jc w:val="center"/>
              </w:trPr>
              <w:tc>
                <w:tcPr>
                  <w:tcW w:w="9457" w:type="dxa"/>
                  <w:gridSpan w:val="4"/>
                  <w:tcBorders>
                    <w:left w:val="nil"/>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color w:val="4F81BD" w:themeColor="accent1"/>
                      <w:szCs w:val="22"/>
                      <w:lang w:val="en-GB"/>
                    </w:rPr>
                    <w:t>PANACR09 (Counterparty risk)</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Atribut</w:t>
                  </w:r>
                </w:p>
              </w:tc>
              <w:tc>
                <w:tcPr>
                  <w:tcW w:w="148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(T-1)</w:t>
                  </w:r>
                </w:p>
              </w:tc>
              <w:tc>
                <w:tcPr>
                  <w:tcW w:w="148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w:t>
                  </w:r>
                </w:p>
              </w:tc>
              <w:tc>
                <w:tcPr>
                  <w:tcW w:w="4300" w:type="dxa"/>
                  <w:tcBorders>
                    <w:righ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Poznámka</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sledovaného subjektu</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protistrany</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Typ protistrany</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 xml:space="preserve">Atribut se nemění. </w:t>
                  </w:r>
                  <w:r w:rsidRPr="00463E1A">
                    <w:rPr>
                      <w:rFonts w:ascii="Times New Roman" w:hAnsi="Times New Roman"/>
                      <w:szCs w:val="22"/>
                    </w:rPr>
                    <w:t>Velká většina záznamů bude nabývat hodnoty „Právnická osoba s IČO“.</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Pravděpodobnost selhání</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x.xxxxxx</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x.xxxxxx</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Interní rating klienta</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bottom w:val="single" w:sz="4" w:space="0" w:color="auto"/>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Příznak řádku</w:t>
                  </w:r>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Standardní řádek</w:t>
                  </w:r>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Standardní řádek</w:t>
                  </w:r>
                </w:p>
              </w:tc>
              <w:tc>
                <w:tcPr>
                  <w:tcW w:w="4300" w:type="dxa"/>
                  <w:tcBorders>
                    <w:bottom w:val="single" w:sz="4" w:space="0" w:color="auto"/>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szCs w:val="22"/>
                    </w:rPr>
                    <w:t>Procesní atribut, který slouží ke konsolidaci dat v databázi ČNB. Hodnota tohoto atributu není podmíněna stavem instrumentu, v tomto případě jeho ukončením.</w:t>
                  </w:r>
                </w:p>
              </w:tc>
            </w:tr>
            <w:tr w:rsidR="006663ED" w:rsidRPr="00463E1A" w:rsidTr="00F8773C">
              <w:trPr>
                <w:trHeight w:val="283"/>
                <w:jc w:val="center"/>
              </w:trPr>
              <w:tc>
                <w:tcPr>
                  <w:tcW w:w="9457" w:type="dxa"/>
                  <w:gridSpan w:val="4"/>
                  <w:tcBorders>
                    <w:left w:val="nil"/>
                    <w:right w:val="nil"/>
                  </w:tcBorders>
                  <w:vAlign w:val="center"/>
                </w:tcPr>
                <w:p w:rsidR="006663ED" w:rsidRPr="00463E1A" w:rsidRDefault="006663ED" w:rsidP="00F8773C">
                  <w:pPr>
                    <w:spacing w:before="240" w:after="120"/>
                    <w:jc w:val="both"/>
                    <w:rPr>
                      <w:rFonts w:ascii="Times New Roman" w:hAnsi="Times New Roman"/>
                      <w:szCs w:val="22"/>
                    </w:rPr>
                  </w:pPr>
                  <w:r w:rsidRPr="00463E1A">
                    <w:rPr>
                      <w:rFonts w:ascii="Times New Roman" w:hAnsi="Times New Roman"/>
                      <w:szCs w:val="22"/>
                    </w:rPr>
                    <w:t>Pro ukončené instrumenty není požadováno reportovat příslušné záznamy z výkazu PANACR10. Pokud vykazující subjekt z určitého důvodu preferuje zaslat odpovídající záznamy i k ukončeným instrumentům, postupuje podle návodu níže.</w:t>
                  </w:r>
                </w:p>
              </w:tc>
            </w:tr>
            <w:tr w:rsidR="006663ED" w:rsidRPr="00463E1A" w:rsidTr="00F8773C">
              <w:trPr>
                <w:trHeight w:val="283"/>
                <w:jc w:val="center"/>
              </w:trPr>
              <w:tc>
                <w:tcPr>
                  <w:tcW w:w="9457" w:type="dxa"/>
                  <w:gridSpan w:val="4"/>
                  <w:tcBorders>
                    <w:lef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color w:val="4F81BD" w:themeColor="accent1"/>
                      <w:szCs w:val="22"/>
                      <w:lang w:val="en-GB"/>
                    </w:rPr>
                    <w:t>PANACR10 (Counterparty default)</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Atribut</w:t>
                  </w:r>
                </w:p>
              </w:tc>
              <w:tc>
                <w:tcPr>
                  <w:tcW w:w="148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(T-1)</w:t>
                  </w:r>
                </w:p>
              </w:tc>
              <w:tc>
                <w:tcPr>
                  <w:tcW w:w="148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w:t>
                  </w:r>
                </w:p>
              </w:tc>
              <w:tc>
                <w:tcPr>
                  <w:tcW w:w="4300" w:type="dxa"/>
                  <w:tcBorders>
                    <w:righ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Poznámka</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lastRenderedPageBreak/>
                    <w:t>Identifikátor sledovaného subjektu</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protistrany</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Typ protistrany</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r w:rsidRPr="00463E1A">
                    <w:rPr>
                      <w:rFonts w:ascii="Times New Roman" w:hAnsi="Times New Roman"/>
                      <w:szCs w:val="22"/>
                    </w:rPr>
                    <w:t xml:space="preserve"> Velká většina záznamů bude nabývat hodnoty „Právnická osoba s IČO“.</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Stav selhání protistrany</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 xml:space="preserve">Atribut se nemění. </w:t>
                  </w:r>
                  <w:r w:rsidRPr="00463E1A">
                    <w:rPr>
                      <w:rFonts w:ascii="Times New Roman" w:hAnsi="Times New Roman"/>
                      <w:szCs w:val="22"/>
                    </w:rPr>
                    <w:t xml:space="preserve">Atribut je reportován pouze v případě, že je stav selhání hodnocen na úrovni protistrany. Pokud je stav selhání hodnocen na úrovni instrumentu, potom není reportován žádný záznam do AnaCredit. </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Datum stavu selhání protistrany</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date</w:t>
                  </w:r>
                  <w:proofErr w:type="spellEnd"/>
                  <w:r w:rsidRPr="00463E1A">
                    <w:rPr>
                      <w:rFonts w:ascii="Times New Roman" w:hAnsi="Times New Roman"/>
                      <w:szCs w:val="22"/>
                    </w:rPr>
                    <w:t xml:space="preserve"> OR NTAP</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date</w:t>
                  </w:r>
                  <w:proofErr w:type="spellEnd"/>
                  <w:r w:rsidRPr="00463E1A">
                    <w:rPr>
                      <w:rFonts w:ascii="Times New Roman" w:hAnsi="Times New Roman"/>
                      <w:szCs w:val="22"/>
                    </w:rPr>
                    <w:t xml:space="preserve"> OR NTAP</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 xml:space="preserve">Atribut se nemění. </w:t>
                  </w:r>
                  <w:r w:rsidRPr="00463E1A">
                    <w:rPr>
                      <w:rFonts w:ascii="Times New Roman" w:hAnsi="Times New Roman"/>
                      <w:szCs w:val="22"/>
                    </w:rPr>
                    <w:t>Atribut přímo souvisí s atributem „Stav selhání protistrany“. Vzhledem k tomu, že se stav selhání nemění, nemění se ani tento atribut. Hodnota „NTAP“ je reportována v obou obdobích v případě, že protistrana nikdy nebyla v selhání a zároveň atribut „Stav selhání protistrany“ nabývá hodnoty „Není v selhání“.</w:t>
                  </w:r>
                </w:p>
              </w:tc>
            </w:tr>
            <w:tr w:rsidR="006663ED" w:rsidRPr="00463E1A" w:rsidTr="00F8773C">
              <w:trPr>
                <w:trHeight w:val="283"/>
                <w:jc w:val="center"/>
              </w:trPr>
              <w:tc>
                <w:tcPr>
                  <w:tcW w:w="2185" w:type="dxa"/>
                  <w:tcBorders>
                    <w:left w:val="nil"/>
                    <w:bottom w:val="single" w:sz="4" w:space="0" w:color="auto"/>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Příznak řádku</w:t>
                  </w:r>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Standardní řádek</w:t>
                  </w:r>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Standardní řádek</w:t>
                  </w:r>
                </w:p>
              </w:tc>
              <w:tc>
                <w:tcPr>
                  <w:tcW w:w="4300" w:type="dxa"/>
                  <w:tcBorders>
                    <w:bottom w:val="single" w:sz="4" w:space="0" w:color="auto"/>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szCs w:val="22"/>
                    </w:rPr>
                    <w:t>Procesní atribut, který slouží ke konsolidaci dat v databázi ČNB. Hodnota tohoto atributu není podmíněna stavem instrumentu, v tomto případě jeho ukončením.</w:t>
                  </w:r>
                </w:p>
              </w:tc>
            </w:tr>
            <w:tr w:rsidR="006663ED" w:rsidRPr="00463E1A" w:rsidTr="00F8773C">
              <w:trPr>
                <w:trHeight w:val="283"/>
                <w:jc w:val="center"/>
              </w:trPr>
              <w:tc>
                <w:tcPr>
                  <w:tcW w:w="9457" w:type="dxa"/>
                  <w:gridSpan w:val="4"/>
                  <w:tcBorders>
                    <w:left w:val="nil"/>
                    <w:right w:val="nil"/>
                  </w:tcBorders>
                  <w:vAlign w:val="center"/>
                </w:tcPr>
                <w:p w:rsidR="006663ED" w:rsidRPr="00463E1A" w:rsidRDefault="006663ED" w:rsidP="00F8773C">
                  <w:pPr>
                    <w:spacing w:before="240" w:after="120"/>
                    <w:jc w:val="both"/>
                    <w:rPr>
                      <w:rFonts w:ascii="Times New Roman" w:hAnsi="Times New Roman"/>
                      <w:b/>
                      <w:color w:val="4F81BD" w:themeColor="accent1"/>
                      <w:szCs w:val="22"/>
                    </w:rPr>
                  </w:pPr>
                  <w:r w:rsidRPr="00463E1A">
                    <w:rPr>
                      <w:rFonts w:ascii="Times New Roman" w:hAnsi="Times New Roman"/>
                      <w:szCs w:val="22"/>
                    </w:rPr>
                    <w:t>Výkaz PANACR21 není relevantní pro podrozvahové položky.</w:t>
                  </w:r>
                </w:p>
              </w:tc>
            </w:tr>
            <w:tr w:rsidR="006663ED" w:rsidRPr="00463E1A" w:rsidTr="00F8773C">
              <w:trPr>
                <w:trHeight w:val="283"/>
                <w:jc w:val="center"/>
              </w:trPr>
              <w:tc>
                <w:tcPr>
                  <w:tcW w:w="9457" w:type="dxa"/>
                  <w:gridSpan w:val="4"/>
                  <w:tcBorders>
                    <w:left w:val="nil"/>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color w:val="4F81BD" w:themeColor="accent1"/>
                      <w:szCs w:val="22"/>
                      <w:lang w:val="en-GB"/>
                    </w:rPr>
                    <w:t>PANACR21 (Linked contract)</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Atribut</w:t>
                  </w:r>
                </w:p>
              </w:tc>
              <w:tc>
                <w:tcPr>
                  <w:tcW w:w="148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(T-1)</w:t>
                  </w:r>
                </w:p>
              </w:tc>
              <w:tc>
                <w:tcPr>
                  <w:tcW w:w="148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w:t>
                  </w:r>
                </w:p>
              </w:tc>
              <w:tc>
                <w:tcPr>
                  <w:tcW w:w="4300" w:type="dxa"/>
                  <w:tcBorders>
                    <w:righ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Poznámka</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sledovaného subjektu</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w:t>
                  </w:r>
                </w:p>
              </w:tc>
              <w:tc>
                <w:tcPr>
                  <w:tcW w:w="4300" w:type="dxa"/>
                  <w:tcBorders>
                    <w:right w:val="nil"/>
                  </w:tcBorders>
                  <w:vAlign w:val="center"/>
                </w:tcPr>
                <w:p w:rsidR="006663ED" w:rsidRPr="00463E1A" w:rsidRDefault="006663ED" w:rsidP="00F8773C">
                  <w:pPr>
                    <w:rPr>
                      <w:rFonts w:ascii="Times New Roman" w:hAnsi="Times New Roman"/>
                      <w:szCs w:val="22"/>
                    </w:rPr>
                  </w:pP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kontraktu</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w:t>
                  </w:r>
                </w:p>
              </w:tc>
              <w:tc>
                <w:tcPr>
                  <w:tcW w:w="4300" w:type="dxa"/>
                  <w:tcBorders>
                    <w:right w:val="nil"/>
                  </w:tcBorders>
                  <w:vAlign w:val="center"/>
                </w:tcPr>
                <w:p w:rsidR="006663ED" w:rsidRPr="00463E1A" w:rsidRDefault="006663ED" w:rsidP="00F8773C">
                  <w:pPr>
                    <w:jc w:val="both"/>
                    <w:rPr>
                      <w:rFonts w:ascii="Times New Roman" w:hAnsi="Times New Roman"/>
                      <w:szCs w:val="22"/>
                    </w:rPr>
                  </w:pP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kontraktu - původní</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w:t>
                  </w:r>
                </w:p>
              </w:tc>
              <w:tc>
                <w:tcPr>
                  <w:tcW w:w="4300" w:type="dxa"/>
                  <w:tcBorders>
                    <w:right w:val="nil"/>
                  </w:tcBorders>
                  <w:vAlign w:val="center"/>
                </w:tcPr>
                <w:p w:rsidR="006663ED" w:rsidRPr="00463E1A" w:rsidRDefault="006663ED" w:rsidP="00F8773C">
                  <w:pPr>
                    <w:jc w:val="both"/>
                    <w:rPr>
                      <w:rFonts w:ascii="Times New Roman" w:hAnsi="Times New Roman"/>
                      <w:szCs w:val="22"/>
                    </w:rPr>
                  </w:pP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instrumentu</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w:t>
                  </w:r>
                </w:p>
              </w:tc>
              <w:tc>
                <w:tcPr>
                  <w:tcW w:w="4300" w:type="dxa"/>
                  <w:tcBorders>
                    <w:right w:val="nil"/>
                  </w:tcBorders>
                  <w:vAlign w:val="center"/>
                </w:tcPr>
                <w:p w:rsidR="006663ED" w:rsidRPr="00463E1A" w:rsidRDefault="006663ED" w:rsidP="00F8773C">
                  <w:pPr>
                    <w:jc w:val="both"/>
                    <w:rPr>
                      <w:rFonts w:ascii="Times New Roman" w:hAnsi="Times New Roman"/>
                      <w:szCs w:val="22"/>
                    </w:rPr>
                  </w:pP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instrumentu - původní</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w:t>
                  </w:r>
                </w:p>
              </w:tc>
              <w:tc>
                <w:tcPr>
                  <w:tcW w:w="4300" w:type="dxa"/>
                  <w:tcBorders>
                    <w:right w:val="nil"/>
                  </w:tcBorders>
                  <w:vAlign w:val="center"/>
                </w:tcPr>
                <w:p w:rsidR="006663ED" w:rsidRPr="00463E1A" w:rsidRDefault="006663ED" w:rsidP="00F8773C">
                  <w:pPr>
                    <w:jc w:val="both"/>
                    <w:rPr>
                      <w:rFonts w:ascii="Times New Roman" w:hAnsi="Times New Roman"/>
                      <w:szCs w:val="22"/>
                    </w:rPr>
                  </w:pP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Typ propojení</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w:t>
                  </w:r>
                </w:p>
              </w:tc>
              <w:tc>
                <w:tcPr>
                  <w:tcW w:w="4300" w:type="dxa"/>
                  <w:tcBorders>
                    <w:right w:val="nil"/>
                  </w:tcBorders>
                  <w:vAlign w:val="center"/>
                </w:tcPr>
                <w:p w:rsidR="006663ED" w:rsidRPr="00463E1A" w:rsidRDefault="006663ED" w:rsidP="00F8773C">
                  <w:pPr>
                    <w:rPr>
                      <w:rFonts w:ascii="Times New Roman" w:hAnsi="Times New Roman"/>
                      <w:szCs w:val="22"/>
                    </w:rPr>
                  </w:pPr>
                </w:p>
              </w:tc>
            </w:tr>
            <w:tr w:rsidR="006663ED" w:rsidRPr="00463E1A" w:rsidTr="00F8773C">
              <w:trPr>
                <w:trHeight w:val="283"/>
                <w:jc w:val="center"/>
              </w:trPr>
              <w:tc>
                <w:tcPr>
                  <w:tcW w:w="2185" w:type="dxa"/>
                  <w:tcBorders>
                    <w:left w:val="nil"/>
                    <w:bottom w:val="single" w:sz="4" w:space="0" w:color="auto"/>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Příznak řádku</w:t>
                  </w:r>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w:t>
                  </w:r>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w:t>
                  </w:r>
                </w:p>
              </w:tc>
              <w:tc>
                <w:tcPr>
                  <w:tcW w:w="4300" w:type="dxa"/>
                  <w:tcBorders>
                    <w:bottom w:val="single" w:sz="4" w:space="0" w:color="auto"/>
                    <w:right w:val="nil"/>
                  </w:tcBorders>
                  <w:vAlign w:val="center"/>
                </w:tcPr>
                <w:p w:rsidR="006663ED" w:rsidRPr="00463E1A" w:rsidRDefault="006663ED" w:rsidP="00F8773C">
                  <w:pPr>
                    <w:jc w:val="both"/>
                    <w:rPr>
                      <w:rFonts w:ascii="Times New Roman" w:hAnsi="Times New Roman"/>
                      <w:szCs w:val="22"/>
                    </w:rPr>
                  </w:pPr>
                </w:p>
              </w:tc>
            </w:tr>
            <w:tr w:rsidR="006663ED" w:rsidRPr="00463E1A" w:rsidTr="00F8773C">
              <w:trPr>
                <w:trHeight w:val="283"/>
                <w:jc w:val="center"/>
              </w:trPr>
              <w:tc>
                <w:tcPr>
                  <w:tcW w:w="9457" w:type="dxa"/>
                  <w:gridSpan w:val="4"/>
                  <w:tcBorders>
                    <w:left w:val="nil"/>
                    <w:bottom w:val="single" w:sz="4" w:space="0" w:color="auto"/>
                    <w:right w:val="nil"/>
                  </w:tcBorders>
                  <w:vAlign w:val="center"/>
                </w:tcPr>
                <w:p w:rsidR="006663ED" w:rsidRPr="00463E1A" w:rsidRDefault="006663ED" w:rsidP="00F8773C">
                  <w:pPr>
                    <w:spacing w:before="240" w:after="120"/>
                    <w:jc w:val="both"/>
                    <w:rPr>
                      <w:rFonts w:ascii="Times New Roman" w:hAnsi="Times New Roman"/>
                      <w:szCs w:val="22"/>
                    </w:rPr>
                  </w:pPr>
                  <w:r w:rsidRPr="00463E1A">
                    <w:rPr>
                      <w:rFonts w:ascii="Times New Roman" w:hAnsi="Times New Roman"/>
                      <w:szCs w:val="22"/>
                    </w:rPr>
                    <w:t>PANACR22 je čtvrtletní výkaz, který je dynamického charakteru, a odráží skutečnost daného instrumentu v příslušném období. V případě ukončených instrumentů nabývají některé atributy předem stanovených hodnot. Pokud je instrument ukončen v měsíci, který zároveň není čtvrtletím, potom se k tomuto instrumentu nevykazují žádná data z PANACR22, tj. výkaz není vůbec předmětem reportingu pro dané období. V podstatě to znamená, že ukončené instrumenty nemusí být vykazovány do konce čtvrtletí, jako tomu je v případě odepsaných instrumentů.</w:t>
                  </w:r>
                </w:p>
              </w:tc>
            </w:tr>
            <w:tr w:rsidR="006663ED" w:rsidRPr="00463E1A" w:rsidTr="00F8773C">
              <w:trPr>
                <w:trHeight w:val="283"/>
                <w:jc w:val="center"/>
              </w:trPr>
              <w:tc>
                <w:tcPr>
                  <w:tcW w:w="9457" w:type="dxa"/>
                  <w:gridSpan w:val="4"/>
                  <w:tcBorders>
                    <w:left w:val="nil"/>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color w:val="4F81BD" w:themeColor="accent1"/>
                      <w:szCs w:val="22"/>
                      <w:lang w:val="en-GB"/>
                    </w:rPr>
                    <w:t>PANACR22 (Credit risk)</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Atribut</w:t>
                  </w:r>
                </w:p>
              </w:tc>
              <w:tc>
                <w:tcPr>
                  <w:tcW w:w="148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(T-3)</w:t>
                  </w:r>
                </w:p>
              </w:tc>
              <w:tc>
                <w:tcPr>
                  <w:tcW w:w="148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w:t>
                  </w:r>
                </w:p>
              </w:tc>
              <w:tc>
                <w:tcPr>
                  <w:tcW w:w="4300" w:type="dxa"/>
                  <w:tcBorders>
                    <w:righ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Poznámka</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lastRenderedPageBreak/>
                    <w:t>Identifikátor sledovaného subjektu</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kontraktu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instrumentu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expozice</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zajištění</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Typ expozice</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Třída expozice</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Přístup kapitálové kalkulace pro obezřetnostní účely</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Finanční kolaterál: upravená hodnota</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number</w:t>
                  </w:r>
                  <w:proofErr w:type="spellEnd"/>
                  <w:r w:rsidRPr="00463E1A">
                    <w:rPr>
                      <w:rFonts w:ascii="Times New Roman" w:hAnsi="Times New Roman"/>
                      <w:szCs w:val="22"/>
                    </w:rPr>
                    <w:t xml:space="preserve"> OR NTAP</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number</w:t>
                  </w:r>
                  <w:proofErr w:type="spellEnd"/>
                  <w:r w:rsidRPr="00463E1A">
                    <w:rPr>
                      <w:rFonts w:ascii="Times New Roman" w:hAnsi="Times New Roman"/>
                      <w:szCs w:val="22"/>
                    </w:rPr>
                    <w:t xml:space="preserve"> OR NTAP</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Hodnota rizikově vážené expozice</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r w:rsidRPr="00463E1A">
                    <w:rPr>
                      <w:rFonts w:ascii="Times New Roman" w:hAnsi="Times New Roman"/>
                      <w:szCs w:val="22"/>
                    </w:rPr>
                    <w:t xml:space="preserve"> OR NTAP</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0.00 OR NTAP</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 xml:space="preserve">V období (T) musí být atribut nulový. </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Riziková váha</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number</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number</w:t>
                  </w:r>
                  <w:proofErr w:type="spellEnd"/>
                  <w:r w:rsidRPr="00463E1A">
                    <w:rPr>
                      <w:rFonts w:ascii="Times New Roman" w:hAnsi="Times New Roman"/>
                      <w:szCs w:val="22"/>
                    </w:rPr>
                    <w:t xml:space="preserve"> </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LGD v normálních ekonomických časech</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number</w:t>
                  </w:r>
                  <w:proofErr w:type="spellEnd"/>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0.00</w:t>
                  </w:r>
                </w:p>
              </w:tc>
              <w:tc>
                <w:tcPr>
                  <w:tcW w:w="4300" w:type="dxa"/>
                  <w:tcBorders>
                    <w:right w:val="nil"/>
                  </w:tcBorders>
                  <w:vAlign w:val="center"/>
                </w:tcPr>
                <w:p w:rsidR="006663ED" w:rsidRPr="00463E1A" w:rsidRDefault="006663ED" w:rsidP="00F8773C">
                  <w:pPr>
                    <w:rPr>
                      <w:rFonts w:ascii="Times New Roman" w:hAnsi="Times New Roman"/>
                      <w:b/>
                      <w:szCs w:val="22"/>
                    </w:rPr>
                  </w:pPr>
                  <w:r w:rsidRPr="00463E1A">
                    <w:rPr>
                      <w:rFonts w:ascii="Times New Roman" w:hAnsi="Times New Roman"/>
                      <w:b/>
                      <w:szCs w:val="22"/>
                    </w:rPr>
                    <w:t>V období (T) musí být atribut nulový.</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LGD v dobách ekonomického poklesu</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number</w:t>
                  </w:r>
                  <w:proofErr w:type="spellEnd"/>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0.00</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V období (T) musí být atribut nulový.</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Hodnota expozice</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number</w:t>
                  </w:r>
                  <w:proofErr w:type="spellEnd"/>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0.00</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V období (T) musí být atribut nulový.</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Původní hodnota expozice před vynásobením konverzními faktory</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r w:rsidRPr="00463E1A">
                    <w:rPr>
                      <w:rFonts w:ascii="Times New Roman" w:hAnsi="Times New Roman"/>
                      <w:szCs w:val="22"/>
                    </w:rPr>
                    <w:t xml:space="preserve"> OR NTAP</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x.xx</w:t>
                  </w:r>
                  <w:proofErr w:type="spellEnd"/>
                  <w:r w:rsidRPr="00463E1A">
                    <w:rPr>
                      <w:rFonts w:ascii="Times New Roman" w:hAnsi="Times New Roman"/>
                      <w:szCs w:val="22"/>
                    </w:rPr>
                    <w:t xml:space="preserve"> OR NTAP</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Výše očekávané ztráty</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number</w:t>
                  </w:r>
                  <w:proofErr w:type="spellEnd"/>
                  <w:r w:rsidRPr="00463E1A">
                    <w:rPr>
                      <w:rFonts w:ascii="Times New Roman" w:hAnsi="Times New Roman"/>
                      <w:szCs w:val="22"/>
                    </w:rPr>
                    <w:t xml:space="preserve"> OR NTAP</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0.00 OR NTAP</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Pokud vykazující subjekt aplikuje standardizovaný přístup, potom v období (T) může atribut nabývat hodnoty ‘NTAP‘. Pokud instituce aplikuje IRB přístup, potom atribut v období (T) musí nabývat nulové hodnoty.</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Expozice malým a středním podnikům podléhající podpůrným faktorům pro kapitálové požadavky</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value</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Úvěrový konverzní faktor</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number</w:t>
                  </w:r>
                  <w:proofErr w:type="spellEnd"/>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0.000000</w:t>
                  </w:r>
                </w:p>
              </w:tc>
              <w:tc>
                <w:tcPr>
                  <w:tcW w:w="4300" w:type="dxa"/>
                  <w:tcBorders>
                    <w:right w:val="nil"/>
                  </w:tcBorders>
                  <w:vAlign w:val="center"/>
                </w:tcPr>
                <w:p w:rsidR="006663ED" w:rsidRPr="00463E1A" w:rsidRDefault="006663ED" w:rsidP="00F8773C">
                  <w:pPr>
                    <w:rPr>
                      <w:rFonts w:ascii="Times New Roman" w:hAnsi="Times New Roman"/>
                      <w:b/>
                      <w:szCs w:val="22"/>
                    </w:rPr>
                  </w:pPr>
                  <w:r w:rsidRPr="00463E1A">
                    <w:rPr>
                      <w:rFonts w:ascii="Times New Roman" w:hAnsi="Times New Roman"/>
                      <w:b/>
                      <w:szCs w:val="22"/>
                    </w:rPr>
                    <w:t>V období (T) musí být atribut nulový.</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Pravděpodobnost selhání expozice</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number</w:t>
                  </w:r>
                  <w:proofErr w:type="spellEnd"/>
                  <w:r w:rsidRPr="00463E1A">
                    <w:rPr>
                      <w:rFonts w:ascii="Times New Roman" w:hAnsi="Times New Roman"/>
                      <w:szCs w:val="22"/>
                    </w:rPr>
                    <w:t xml:space="preserve"> OR NTAP</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0.000000 OR NTAP</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Hodnotu ‘NTAP‘ je možné reportovat v případě, že vykazující subjekt aplikuje standardizovaný přístup. Pokud vykazující subjekt aplikuje přístup IRB, potom atribut v období (T) musí nabývat nulové hodnoty.</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Interní rating expozice</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 xml:space="preserve">NTAP </w:t>
                  </w:r>
                  <w:proofErr w:type="spellStart"/>
                  <w:r w:rsidRPr="00463E1A">
                    <w:rPr>
                      <w:rFonts w:ascii="Times New Roman" w:hAnsi="Times New Roman"/>
                      <w:szCs w:val="22"/>
                    </w:rPr>
                    <w:t>or</w:t>
                  </w:r>
                  <w:proofErr w:type="spellEnd"/>
                  <w:r w:rsidRPr="00463E1A">
                    <w:rPr>
                      <w:rFonts w:ascii="Times New Roman" w:hAnsi="Times New Roman"/>
                      <w:szCs w:val="22"/>
                    </w:rPr>
                    <w:t xml:space="preserve"> </w:t>
                  </w:r>
                  <w:proofErr w:type="spellStart"/>
                  <w:r w:rsidRPr="00463E1A">
                    <w:rPr>
                      <w:rFonts w:ascii="Times New Roman" w:hAnsi="Times New Roman"/>
                      <w:szCs w:val="22"/>
                    </w:rPr>
                    <w:t>string</w:t>
                  </w:r>
                  <w:proofErr w:type="spellEnd"/>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 xml:space="preserve">NTAP </w:t>
                  </w:r>
                  <w:proofErr w:type="spellStart"/>
                  <w:r w:rsidRPr="00463E1A">
                    <w:rPr>
                      <w:rFonts w:ascii="Times New Roman" w:hAnsi="Times New Roman"/>
                      <w:szCs w:val="22"/>
                    </w:rPr>
                    <w:t>or</w:t>
                  </w:r>
                  <w:proofErr w:type="spellEnd"/>
                  <w:r w:rsidRPr="00463E1A">
                    <w:rPr>
                      <w:rFonts w:ascii="Times New Roman" w:hAnsi="Times New Roman"/>
                      <w:szCs w:val="22"/>
                    </w:rPr>
                    <w:t xml:space="preserve"> </w:t>
                  </w:r>
                  <w:proofErr w:type="spellStart"/>
                  <w:r w:rsidRPr="00463E1A">
                    <w:rPr>
                      <w:rFonts w:ascii="Times New Roman" w:hAnsi="Times New Roman"/>
                      <w:szCs w:val="22"/>
                    </w:rPr>
                    <w:t>string</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r w:rsidRPr="00463E1A">
                    <w:rPr>
                      <w:rFonts w:ascii="Times New Roman" w:hAnsi="Times New Roman"/>
                      <w:szCs w:val="22"/>
                    </w:rPr>
                    <w:t xml:space="preserve"> Hodnotu ‘NTAP‘ je možné reportovat v případě, že vykazující subjekt aplikuje standardizovaný přístup. </w:t>
                  </w:r>
                  <w:r w:rsidRPr="00463E1A">
                    <w:rPr>
                      <w:rFonts w:ascii="Times New Roman" w:hAnsi="Times New Roman"/>
                      <w:szCs w:val="22"/>
                    </w:rPr>
                    <w:lastRenderedPageBreak/>
                    <w:t xml:space="preserve">Pokud vykazující subjekt aplikuje přístup IRB, potom je vykázán atribut na základě stanoveného systému daného subjektu. </w:t>
                  </w:r>
                </w:p>
              </w:tc>
            </w:tr>
            <w:tr w:rsidR="006663ED" w:rsidRPr="00463E1A" w:rsidTr="00F8773C">
              <w:trPr>
                <w:trHeight w:val="283"/>
                <w:jc w:val="center"/>
              </w:trPr>
              <w:tc>
                <w:tcPr>
                  <w:tcW w:w="2185" w:type="dxa"/>
                  <w:tcBorders>
                    <w:left w:val="nil"/>
                    <w:bottom w:val="single" w:sz="4" w:space="0" w:color="auto"/>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lastRenderedPageBreak/>
                    <w:t>Příznak řádku</w:t>
                  </w:r>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Standardní řádek</w:t>
                  </w:r>
                </w:p>
              </w:tc>
              <w:tc>
                <w:tcPr>
                  <w:tcW w:w="1486" w:type="dxa"/>
                  <w:tcBorders>
                    <w:bottom w:val="single" w:sz="4" w:space="0" w:color="auto"/>
                  </w:tcBorders>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Standardní řádek</w:t>
                  </w:r>
                </w:p>
              </w:tc>
              <w:tc>
                <w:tcPr>
                  <w:tcW w:w="4300" w:type="dxa"/>
                  <w:tcBorders>
                    <w:bottom w:val="single" w:sz="4" w:space="0" w:color="auto"/>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szCs w:val="22"/>
                    </w:rPr>
                    <w:t>Procesní atribut, který slouží ke konsolidaci dat v databázi ČNB. Hodnota tohoto atributu není podmíněna stavem instrumentu, v tomto případě jeho ukončením.</w:t>
                  </w:r>
                </w:p>
              </w:tc>
            </w:tr>
            <w:tr w:rsidR="006663ED" w:rsidRPr="00463E1A" w:rsidTr="00F8773C">
              <w:trPr>
                <w:trHeight w:val="283"/>
                <w:jc w:val="center"/>
              </w:trPr>
              <w:tc>
                <w:tcPr>
                  <w:tcW w:w="9457" w:type="dxa"/>
                  <w:gridSpan w:val="4"/>
                  <w:tcBorders>
                    <w:left w:val="nil"/>
                    <w:bottom w:val="single" w:sz="4" w:space="0" w:color="auto"/>
                    <w:right w:val="nil"/>
                  </w:tcBorders>
                  <w:vAlign w:val="center"/>
                </w:tcPr>
                <w:p w:rsidR="006663ED" w:rsidRPr="00463E1A" w:rsidRDefault="006663ED" w:rsidP="00F8773C">
                  <w:pPr>
                    <w:spacing w:before="240" w:after="120"/>
                    <w:jc w:val="both"/>
                    <w:rPr>
                      <w:rFonts w:ascii="Times New Roman" w:hAnsi="Times New Roman"/>
                      <w:szCs w:val="22"/>
                    </w:rPr>
                  </w:pPr>
                  <w:r w:rsidRPr="00463E1A">
                    <w:rPr>
                      <w:rFonts w:ascii="Times New Roman" w:hAnsi="Times New Roman"/>
                      <w:szCs w:val="22"/>
                    </w:rPr>
                    <w:t>Pro ukončené instrumenty není požadováno reportovat příslušné záznamy z výkazu PANACR23. Pokud vykazující subjekt z určitého důvodu preferuje zaslat odpovídající záznamy i k ukončeným instrumentům, postupuje podle návodu níže.</w:t>
                  </w:r>
                </w:p>
              </w:tc>
            </w:tr>
            <w:tr w:rsidR="006663ED" w:rsidRPr="00463E1A" w:rsidTr="00F8773C">
              <w:trPr>
                <w:trHeight w:val="283"/>
                <w:jc w:val="center"/>
              </w:trPr>
              <w:tc>
                <w:tcPr>
                  <w:tcW w:w="9457" w:type="dxa"/>
                  <w:gridSpan w:val="4"/>
                  <w:tcBorders>
                    <w:top w:val="single" w:sz="4" w:space="0" w:color="auto"/>
                    <w:left w:val="nil"/>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color w:val="4F81BD" w:themeColor="accent1"/>
                      <w:szCs w:val="22"/>
                      <w:lang w:val="en-GB"/>
                    </w:rPr>
                    <w:t>PANACR23 (Group of connected clients)</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Atribut</w:t>
                  </w:r>
                </w:p>
              </w:tc>
              <w:tc>
                <w:tcPr>
                  <w:tcW w:w="148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(T-1)</w:t>
                  </w:r>
                </w:p>
              </w:tc>
              <w:tc>
                <w:tcPr>
                  <w:tcW w:w="1486" w:type="dxa"/>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(T)</w:t>
                  </w:r>
                </w:p>
              </w:tc>
              <w:tc>
                <w:tcPr>
                  <w:tcW w:w="4300" w:type="dxa"/>
                  <w:tcBorders>
                    <w:righ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Poznámka</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sledovaného subjektu</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protistrany</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RIAD-IDK</w:t>
                  </w:r>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Identifikátor skupiny ekonomicky spjatých klientů</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Název skupiny ekonomicky spjatých klientů</w:t>
                  </w:r>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1486" w:type="dxa"/>
                  <w:vAlign w:val="center"/>
                </w:tcPr>
                <w:p w:rsidR="006663ED" w:rsidRPr="00463E1A" w:rsidRDefault="006663ED" w:rsidP="00F8773C">
                  <w:pPr>
                    <w:rPr>
                      <w:rFonts w:ascii="Times New Roman" w:hAnsi="Times New Roman"/>
                      <w:szCs w:val="22"/>
                    </w:rPr>
                  </w:pPr>
                  <w:proofErr w:type="spellStart"/>
                  <w:r w:rsidRPr="00463E1A">
                    <w:rPr>
                      <w:rFonts w:ascii="Times New Roman" w:hAnsi="Times New Roman"/>
                      <w:szCs w:val="22"/>
                    </w:rPr>
                    <w:t>string</w:t>
                  </w:r>
                  <w:proofErr w:type="spellEnd"/>
                </w:p>
              </w:tc>
              <w:tc>
                <w:tcPr>
                  <w:tcW w:w="4300" w:type="dxa"/>
                  <w:tcBorders>
                    <w:right w:val="nil"/>
                  </w:tcBorders>
                  <w:vAlign w:val="center"/>
                </w:tcPr>
                <w:p w:rsidR="006663ED" w:rsidRPr="00463E1A" w:rsidRDefault="006663ED" w:rsidP="00F8773C">
                  <w:pPr>
                    <w:rPr>
                      <w:rFonts w:ascii="Times New Roman" w:hAnsi="Times New Roman"/>
                      <w:szCs w:val="22"/>
                    </w:rPr>
                  </w:pPr>
                  <w:r w:rsidRPr="00463E1A">
                    <w:rPr>
                      <w:rFonts w:ascii="Times New Roman" w:hAnsi="Times New Roman"/>
                      <w:b/>
                      <w:szCs w:val="22"/>
                    </w:rPr>
                    <w:t>Atribut se nemění.</w:t>
                  </w:r>
                </w:p>
              </w:tc>
            </w:tr>
            <w:tr w:rsidR="006663ED" w:rsidRPr="00463E1A" w:rsidTr="00F8773C">
              <w:trPr>
                <w:trHeight w:val="283"/>
                <w:jc w:val="center"/>
              </w:trPr>
              <w:tc>
                <w:tcPr>
                  <w:tcW w:w="2185" w:type="dxa"/>
                  <w:tcBorders>
                    <w:left w:val="nil"/>
                  </w:tcBorders>
                  <w:vAlign w:val="center"/>
                </w:tcPr>
                <w:p w:rsidR="006663ED" w:rsidRPr="00463E1A" w:rsidRDefault="006663ED" w:rsidP="00F8773C">
                  <w:pPr>
                    <w:rPr>
                      <w:rFonts w:ascii="Times New Roman" w:hAnsi="Times New Roman"/>
                      <w:b/>
                      <w:color w:val="4F81BD" w:themeColor="accent1"/>
                      <w:szCs w:val="22"/>
                    </w:rPr>
                  </w:pPr>
                  <w:r w:rsidRPr="00463E1A">
                    <w:rPr>
                      <w:rFonts w:ascii="Times New Roman" w:hAnsi="Times New Roman"/>
                      <w:b/>
                      <w:color w:val="4F81BD" w:themeColor="accent1"/>
                      <w:szCs w:val="22"/>
                    </w:rPr>
                    <w:t>Příznak řádku</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Standardní řádek</w:t>
                  </w:r>
                </w:p>
              </w:tc>
              <w:tc>
                <w:tcPr>
                  <w:tcW w:w="1486" w:type="dxa"/>
                  <w:vAlign w:val="center"/>
                </w:tcPr>
                <w:p w:rsidR="006663ED" w:rsidRPr="00463E1A" w:rsidRDefault="006663ED" w:rsidP="00F8773C">
                  <w:pPr>
                    <w:rPr>
                      <w:rFonts w:ascii="Times New Roman" w:hAnsi="Times New Roman"/>
                      <w:szCs w:val="22"/>
                    </w:rPr>
                  </w:pPr>
                  <w:r w:rsidRPr="00463E1A">
                    <w:rPr>
                      <w:rFonts w:ascii="Times New Roman" w:hAnsi="Times New Roman"/>
                      <w:szCs w:val="22"/>
                    </w:rPr>
                    <w:t>Standardní řádek</w:t>
                  </w:r>
                </w:p>
              </w:tc>
              <w:tc>
                <w:tcPr>
                  <w:tcW w:w="4300" w:type="dxa"/>
                  <w:tcBorders>
                    <w:right w:val="nil"/>
                  </w:tcBorders>
                  <w:vAlign w:val="center"/>
                </w:tcPr>
                <w:p w:rsidR="006663ED" w:rsidRPr="00463E1A" w:rsidRDefault="006663ED" w:rsidP="00F8773C">
                  <w:pPr>
                    <w:jc w:val="both"/>
                    <w:rPr>
                      <w:rFonts w:ascii="Times New Roman" w:hAnsi="Times New Roman"/>
                      <w:szCs w:val="22"/>
                    </w:rPr>
                  </w:pPr>
                  <w:r w:rsidRPr="00463E1A">
                    <w:rPr>
                      <w:rFonts w:ascii="Times New Roman" w:hAnsi="Times New Roman"/>
                      <w:szCs w:val="22"/>
                    </w:rPr>
                    <w:t>Procesní atribut, který slouží ke konsolidaci dat v databázi ČNB. Hodnota tohoto atributu není podmíněna stavem instrumentu, v tomto případě jeho ukončením.</w:t>
                  </w:r>
                </w:p>
              </w:tc>
            </w:tr>
          </w:tbl>
          <w:p w:rsidR="006663ED" w:rsidRPr="00463E1A" w:rsidRDefault="006663ED" w:rsidP="00F8773C">
            <w:pPr>
              <w:spacing w:after="120"/>
              <w:rPr>
                <w:rFonts w:ascii="Times New Roman" w:hAnsi="Times New Roman"/>
                <w:szCs w:val="22"/>
              </w:rPr>
            </w:pPr>
          </w:p>
        </w:tc>
      </w:tr>
    </w:tbl>
    <w:p w:rsidR="006663ED" w:rsidRPr="00463E1A" w:rsidRDefault="006663ED" w:rsidP="006663ED">
      <w:pPr>
        <w:jc w:val="both"/>
        <w:rPr>
          <w:szCs w:val="22"/>
        </w:rPr>
      </w:pPr>
    </w:p>
    <w:p w:rsidR="006663ED" w:rsidRPr="00463E1A" w:rsidRDefault="006663ED" w:rsidP="006663ED">
      <w:pPr>
        <w:jc w:val="both"/>
        <w:rPr>
          <w:szCs w:val="22"/>
        </w:rPr>
      </w:pPr>
    </w:p>
    <w:p w:rsidR="006D5324" w:rsidRPr="00463E1A" w:rsidRDefault="006D5324" w:rsidP="006D5324">
      <w:pPr>
        <w:spacing w:before="240" w:after="120"/>
        <w:jc w:val="both"/>
        <w:rPr>
          <w:szCs w:val="22"/>
        </w:rPr>
      </w:pPr>
    </w:p>
    <w:p w:rsidR="00F848C3" w:rsidRPr="00463E1A" w:rsidRDefault="00F848C3" w:rsidP="00447B0E">
      <w:pPr>
        <w:spacing w:after="240" w:line="240" w:lineRule="auto"/>
        <w:jc w:val="both"/>
        <w:rPr>
          <w:szCs w:val="22"/>
        </w:rPr>
      </w:pPr>
    </w:p>
    <w:p w:rsidR="00F848C3" w:rsidRPr="00463E1A" w:rsidRDefault="00F848C3" w:rsidP="00447B0E">
      <w:pPr>
        <w:spacing w:after="240" w:line="240" w:lineRule="auto"/>
        <w:jc w:val="both"/>
        <w:rPr>
          <w:szCs w:val="22"/>
        </w:rPr>
      </w:pPr>
    </w:p>
    <w:p w:rsidR="00F848C3" w:rsidRPr="00463E1A" w:rsidRDefault="00F848C3" w:rsidP="00447B0E">
      <w:pPr>
        <w:spacing w:after="240" w:line="240" w:lineRule="auto"/>
        <w:jc w:val="both"/>
        <w:rPr>
          <w:szCs w:val="22"/>
        </w:rPr>
      </w:pPr>
    </w:p>
    <w:p w:rsidR="00F848C3" w:rsidRPr="00463E1A" w:rsidRDefault="00F848C3" w:rsidP="00447B0E">
      <w:pPr>
        <w:spacing w:after="240" w:line="240" w:lineRule="auto"/>
        <w:jc w:val="both"/>
        <w:rPr>
          <w:szCs w:val="22"/>
        </w:rPr>
      </w:pPr>
    </w:p>
    <w:p w:rsidR="00CC09EE" w:rsidRPr="00463E1A" w:rsidRDefault="00CC09EE" w:rsidP="00447B0E">
      <w:pPr>
        <w:spacing w:line="240" w:lineRule="auto"/>
        <w:rPr>
          <w:szCs w:val="22"/>
        </w:rPr>
      </w:pPr>
    </w:p>
    <w:p w:rsidR="006B2564" w:rsidRPr="00463E1A" w:rsidRDefault="006B2564">
      <w:pPr>
        <w:spacing w:line="240" w:lineRule="auto"/>
        <w:rPr>
          <w:szCs w:val="22"/>
        </w:rPr>
      </w:pPr>
    </w:p>
    <w:sectPr w:rsidR="006B2564" w:rsidRPr="00463E1A" w:rsidSect="009B7AD9">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564" w:rsidRDefault="006B2564" w:rsidP="00DF42B5">
      <w:pPr>
        <w:spacing w:line="240" w:lineRule="auto"/>
      </w:pPr>
      <w:r>
        <w:separator/>
      </w:r>
    </w:p>
  </w:endnote>
  <w:endnote w:type="continuationSeparator" w:id="0">
    <w:p w:rsidR="006B2564" w:rsidRDefault="006B2564" w:rsidP="00DF42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390568"/>
      <w:docPartObj>
        <w:docPartGallery w:val="Page Numbers (Bottom of Page)"/>
        <w:docPartUnique/>
      </w:docPartObj>
    </w:sdtPr>
    <w:sdtContent>
      <w:p w:rsidR="006B2564" w:rsidRDefault="006B2564">
        <w:pPr>
          <w:pStyle w:val="Footer"/>
          <w:jc w:val="right"/>
        </w:pPr>
        <w:r>
          <w:fldChar w:fldCharType="begin"/>
        </w:r>
        <w:r>
          <w:instrText>PAGE   \* MERGEFORMAT</w:instrText>
        </w:r>
        <w:r>
          <w:fldChar w:fldCharType="separate"/>
        </w:r>
        <w:r w:rsidR="00463E1A">
          <w:rPr>
            <w:noProof/>
          </w:rPr>
          <w:t>1</w:t>
        </w:r>
        <w:r>
          <w:fldChar w:fldCharType="end"/>
        </w:r>
      </w:p>
    </w:sdtContent>
  </w:sdt>
  <w:p w:rsidR="006B2564" w:rsidRDefault="006B2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564" w:rsidRDefault="006B2564" w:rsidP="00DF42B5">
      <w:pPr>
        <w:spacing w:line="240" w:lineRule="auto"/>
      </w:pPr>
      <w:r>
        <w:separator/>
      </w:r>
    </w:p>
  </w:footnote>
  <w:footnote w:type="continuationSeparator" w:id="0">
    <w:p w:rsidR="006B2564" w:rsidRDefault="006B2564" w:rsidP="00DF42B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0BCF"/>
    <w:multiLevelType w:val="hybridMultilevel"/>
    <w:tmpl w:val="9162C400"/>
    <w:lvl w:ilvl="0" w:tplc="BF0A66C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061FC9"/>
    <w:multiLevelType w:val="hybridMultilevel"/>
    <w:tmpl w:val="49361F8E"/>
    <w:lvl w:ilvl="0" w:tplc="BF0A66C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3E5671D"/>
    <w:multiLevelType w:val="hybridMultilevel"/>
    <w:tmpl w:val="FDA0A15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16455D"/>
    <w:multiLevelType w:val="hybridMultilevel"/>
    <w:tmpl w:val="AB0EEB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80F3F5E"/>
    <w:multiLevelType w:val="hybridMultilevel"/>
    <w:tmpl w:val="0DE43858"/>
    <w:lvl w:ilvl="0" w:tplc="5ED80E9E">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1C83335"/>
    <w:multiLevelType w:val="hybridMultilevel"/>
    <w:tmpl w:val="4852E090"/>
    <w:lvl w:ilvl="0" w:tplc="BF0A66C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2CE6DE6"/>
    <w:multiLevelType w:val="hybridMultilevel"/>
    <w:tmpl w:val="B16899D6"/>
    <w:lvl w:ilvl="0" w:tplc="BF0A66C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8B84F0A"/>
    <w:multiLevelType w:val="hybridMultilevel"/>
    <w:tmpl w:val="CCF8E6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9B34DCF"/>
    <w:multiLevelType w:val="hybridMultilevel"/>
    <w:tmpl w:val="6B24B7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9D4360E"/>
    <w:multiLevelType w:val="hybridMultilevel"/>
    <w:tmpl w:val="113A27D8"/>
    <w:lvl w:ilvl="0" w:tplc="BF0A66C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E1F5AEA"/>
    <w:multiLevelType w:val="hybridMultilevel"/>
    <w:tmpl w:val="1CB0EB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03B51E4"/>
    <w:multiLevelType w:val="multilevel"/>
    <w:tmpl w:val="3164197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nsid w:val="41151092"/>
    <w:multiLevelType w:val="hybridMultilevel"/>
    <w:tmpl w:val="AB1027EE"/>
    <w:lvl w:ilvl="0" w:tplc="BF0A66C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6D22FE4"/>
    <w:multiLevelType w:val="hybridMultilevel"/>
    <w:tmpl w:val="E4BC8568"/>
    <w:lvl w:ilvl="0" w:tplc="BF0A66C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8D60F47"/>
    <w:multiLevelType w:val="hybridMultilevel"/>
    <w:tmpl w:val="A27A9982"/>
    <w:lvl w:ilvl="0" w:tplc="BF0A66CC">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4BF07A2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00F1BF2"/>
    <w:multiLevelType w:val="hybridMultilevel"/>
    <w:tmpl w:val="8A182728"/>
    <w:lvl w:ilvl="0" w:tplc="AE046AEE">
      <w:numFmt w:val="bullet"/>
      <w:lvlText w:val="-"/>
      <w:lvlJc w:val="left"/>
      <w:pPr>
        <w:ind w:left="1068" w:hanging="360"/>
      </w:pPr>
      <w:rPr>
        <w:rFonts w:ascii="Calibri" w:eastAsia="Calibri" w:hAnsi="Calibri"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nsid w:val="55D93F93"/>
    <w:multiLevelType w:val="hybridMultilevel"/>
    <w:tmpl w:val="54C6C5B2"/>
    <w:lvl w:ilvl="0" w:tplc="BF0A66C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9000E13"/>
    <w:multiLevelType w:val="hybridMultilevel"/>
    <w:tmpl w:val="F0B039A4"/>
    <w:lvl w:ilvl="0" w:tplc="BF0A66CC">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623C50BE"/>
    <w:multiLevelType w:val="hybridMultilevel"/>
    <w:tmpl w:val="87DA6056"/>
    <w:lvl w:ilvl="0" w:tplc="C54A3014">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E85338D"/>
    <w:multiLevelType w:val="hybridMultilevel"/>
    <w:tmpl w:val="ABD49014"/>
    <w:lvl w:ilvl="0" w:tplc="F49207C6">
      <w:start w:val="2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371116E"/>
    <w:multiLevelType w:val="hybridMultilevel"/>
    <w:tmpl w:val="9C6EC4B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4D021E6"/>
    <w:multiLevelType w:val="multilevel"/>
    <w:tmpl w:val="C1B61FE4"/>
    <w:lvl w:ilvl="0">
      <w:start w:val="1"/>
      <w:numFmt w:val="decimal"/>
      <w:pStyle w:val="Nadpis1"/>
      <w:lvlText w:val="%1."/>
      <w:lvlJc w:val="left"/>
      <w:pPr>
        <w:ind w:left="360" w:hanging="360"/>
      </w:pPr>
    </w:lvl>
    <w:lvl w:ilvl="1">
      <w:start w:val="1"/>
      <w:numFmt w:val="decimal"/>
      <w:pStyle w:val="Nadpis2"/>
      <w:lvlText w:val="%1.%2."/>
      <w:lvlJc w:val="left"/>
      <w:pPr>
        <w:ind w:left="792" w:hanging="432"/>
      </w:pPr>
    </w:lvl>
    <w:lvl w:ilvl="2">
      <w:start w:val="1"/>
      <w:numFmt w:val="decimal"/>
      <w:pStyle w:val="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7F42D25"/>
    <w:multiLevelType w:val="multilevel"/>
    <w:tmpl w:val="2084DD6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7C0B17A5"/>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7FF77D65"/>
    <w:multiLevelType w:val="hybridMultilevel"/>
    <w:tmpl w:val="CECC145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1"/>
  </w:num>
  <w:num w:numId="4">
    <w:abstractNumId w:val="25"/>
  </w:num>
  <w:num w:numId="5">
    <w:abstractNumId w:val="2"/>
  </w:num>
  <w:num w:numId="6">
    <w:abstractNumId w:val="13"/>
  </w:num>
  <w:num w:numId="7">
    <w:abstractNumId w:val="7"/>
  </w:num>
  <w:num w:numId="8">
    <w:abstractNumId w:val="19"/>
  </w:num>
  <w:num w:numId="9">
    <w:abstractNumId w:val="23"/>
  </w:num>
  <w:num w:numId="10">
    <w:abstractNumId w:val="11"/>
  </w:num>
  <w:num w:numId="11">
    <w:abstractNumId w:val="15"/>
  </w:num>
  <w:num w:numId="12">
    <w:abstractNumId w:val="22"/>
  </w:num>
  <w:num w:numId="13">
    <w:abstractNumId w:val="5"/>
  </w:num>
  <w:num w:numId="14">
    <w:abstractNumId w:val="20"/>
  </w:num>
  <w:num w:numId="15">
    <w:abstractNumId w:val="17"/>
  </w:num>
  <w:num w:numId="16">
    <w:abstractNumId w:val="6"/>
  </w:num>
  <w:num w:numId="17">
    <w:abstractNumId w:val="0"/>
  </w:num>
  <w:num w:numId="18">
    <w:abstractNumId w:val="3"/>
  </w:num>
  <w:num w:numId="19">
    <w:abstractNumId w:val="4"/>
  </w:num>
  <w:num w:numId="20">
    <w:abstractNumId w:val="1"/>
  </w:num>
  <w:num w:numId="21">
    <w:abstractNumId w:val="16"/>
  </w:num>
  <w:num w:numId="22">
    <w:abstractNumId w:val="14"/>
  </w:num>
  <w:num w:numId="23">
    <w:abstractNumId w:val="18"/>
  </w:num>
  <w:num w:numId="24">
    <w:abstractNumId w:val="12"/>
  </w:num>
  <w:num w:numId="25">
    <w:abstractNumId w:val="2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40C"/>
    <w:rsid w:val="0001140C"/>
    <w:rsid w:val="000131D7"/>
    <w:rsid w:val="00021249"/>
    <w:rsid w:val="000216A9"/>
    <w:rsid w:val="00022706"/>
    <w:rsid w:val="00024099"/>
    <w:rsid w:val="0003539E"/>
    <w:rsid w:val="000507E5"/>
    <w:rsid w:val="000546FD"/>
    <w:rsid w:val="00055E8F"/>
    <w:rsid w:val="0006399F"/>
    <w:rsid w:val="000646EA"/>
    <w:rsid w:val="00070509"/>
    <w:rsid w:val="00083D22"/>
    <w:rsid w:val="0009358F"/>
    <w:rsid w:val="00095F4C"/>
    <w:rsid w:val="000A5912"/>
    <w:rsid w:val="000A7B8A"/>
    <w:rsid w:val="000D28A4"/>
    <w:rsid w:val="000D28B5"/>
    <w:rsid w:val="000D5625"/>
    <w:rsid w:val="000E00EF"/>
    <w:rsid w:val="000E113E"/>
    <w:rsid w:val="000E1479"/>
    <w:rsid w:val="000F1479"/>
    <w:rsid w:val="00106EE4"/>
    <w:rsid w:val="00107215"/>
    <w:rsid w:val="00110F08"/>
    <w:rsid w:val="0011779F"/>
    <w:rsid w:val="001210D2"/>
    <w:rsid w:val="00133A50"/>
    <w:rsid w:val="00134D02"/>
    <w:rsid w:val="001421DF"/>
    <w:rsid w:val="00145AFA"/>
    <w:rsid w:val="00152E4E"/>
    <w:rsid w:val="00153052"/>
    <w:rsid w:val="00154ECE"/>
    <w:rsid w:val="001628D0"/>
    <w:rsid w:val="00163385"/>
    <w:rsid w:val="0017488D"/>
    <w:rsid w:val="00180D55"/>
    <w:rsid w:val="00182719"/>
    <w:rsid w:val="00183F62"/>
    <w:rsid w:val="001862FD"/>
    <w:rsid w:val="001877B9"/>
    <w:rsid w:val="001C048C"/>
    <w:rsid w:val="001C17E9"/>
    <w:rsid w:val="001C30E0"/>
    <w:rsid w:val="001D3DF8"/>
    <w:rsid w:val="001D78A8"/>
    <w:rsid w:val="001F09AE"/>
    <w:rsid w:val="001F41C8"/>
    <w:rsid w:val="001F59B0"/>
    <w:rsid w:val="002531DA"/>
    <w:rsid w:val="0025612E"/>
    <w:rsid w:val="002616D7"/>
    <w:rsid w:val="00263333"/>
    <w:rsid w:val="002654A9"/>
    <w:rsid w:val="00277322"/>
    <w:rsid w:val="0028608D"/>
    <w:rsid w:val="0029274A"/>
    <w:rsid w:val="002938F1"/>
    <w:rsid w:val="00295B67"/>
    <w:rsid w:val="002B3BD5"/>
    <w:rsid w:val="002C2A93"/>
    <w:rsid w:val="002C5B01"/>
    <w:rsid w:val="002C783E"/>
    <w:rsid w:val="002C7C29"/>
    <w:rsid w:val="002D381E"/>
    <w:rsid w:val="002E491E"/>
    <w:rsid w:val="002E4F5B"/>
    <w:rsid w:val="002E7506"/>
    <w:rsid w:val="002F49AD"/>
    <w:rsid w:val="003048C3"/>
    <w:rsid w:val="00305FF9"/>
    <w:rsid w:val="003236E0"/>
    <w:rsid w:val="003275BE"/>
    <w:rsid w:val="0033484E"/>
    <w:rsid w:val="00334AD1"/>
    <w:rsid w:val="00337989"/>
    <w:rsid w:val="003440E6"/>
    <w:rsid w:val="003517F3"/>
    <w:rsid w:val="00365B1B"/>
    <w:rsid w:val="00372622"/>
    <w:rsid w:val="00375078"/>
    <w:rsid w:val="00382363"/>
    <w:rsid w:val="0038264C"/>
    <w:rsid w:val="00382E88"/>
    <w:rsid w:val="0038388B"/>
    <w:rsid w:val="00386386"/>
    <w:rsid w:val="003878CE"/>
    <w:rsid w:val="00395317"/>
    <w:rsid w:val="003A04CB"/>
    <w:rsid w:val="003A38B5"/>
    <w:rsid w:val="003C2774"/>
    <w:rsid w:val="003D2D24"/>
    <w:rsid w:val="003D5C0C"/>
    <w:rsid w:val="003D6603"/>
    <w:rsid w:val="003E1455"/>
    <w:rsid w:val="003E671B"/>
    <w:rsid w:val="003F1C2A"/>
    <w:rsid w:val="00402095"/>
    <w:rsid w:val="004136F8"/>
    <w:rsid w:val="00414952"/>
    <w:rsid w:val="00420741"/>
    <w:rsid w:val="00426457"/>
    <w:rsid w:val="00435A1F"/>
    <w:rsid w:val="00445DE8"/>
    <w:rsid w:val="00446899"/>
    <w:rsid w:val="00447B0E"/>
    <w:rsid w:val="00450130"/>
    <w:rsid w:val="00453A69"/>
    <w:rsid w:val="00453AE2"/>
    <w:rsid w:val="00455C41"/>
    <w:rsid w:val="004574D0"/>
    <w:rsid w:val="00463E1A"/>
    <w:rsid w:val="0046762C"/>
    <w:rsid w:val="00472FD8"/>
    <w:rsid w:val="00475E98"/>
    <w:rsid w:val="00483A80"/>
    <w:rsid w:val="00485D88"/>
    <w:rsid w:val="00486050"/>
    <w:rsid w:val="00491279"/>
    <w:rsid w:val="004A3514"/>
    <w:rsid w:val="004B484F"/>
    <w:rsid w:val="004B64E3"/>
    <w:rsid w:val="004D5644"/>
    <w:rsid w:val="004D58EF"/>
    <w:rsid w:val="004E4AE3"/>
    <w:rsid w:val="004E4CAE"/>
    <w:rsid w:val="00505C5E"/>
    <w:rsid w:val="00512FF6"/>
    <w:rsid w:val="00514EA0"/>
    <w:rsid w:val="00515ED0"/>
    <w:rsid w:val="0052473F"/>
    <w:rsid w:val="0052519E"/>
    <w:rsid w:val="0052617A"/>
    <w:rsid w:val="005261C2"/>
    <w:rsid w:val="005307D7"/>
    <w:rsid w:val="00533138"/>
    <w:rsid w:val="005336A7"/>
    <w:rsid w:val="0053507D"/>
    <w:rsid w:val="00543481"/>
    <w:rsid w:val="005476EF"/>
    <w:rsid w:val="0055325F"/>
    <w:rsid w:val="00567DAD"/>
    <w:rsid w:val="005815C5"/>
    <w:rsid w:val="00592F96"/>
    <w:rsid w:val="00593544"/>
    <w:rsid w:val="005967D2"/>
    <w:rsid w:val="005C2F2A"/>
    <w:rsid w:val="005C5734"/>
    <w:rsid w:val="005C74E0"/>
    <w:rsid w:val="005C794E"/>
    <w:rsid w:val="005E0AF2"/>
    <w:rsid w:val="005E6D24"/>
    <w:rsid w:val="005F0699"/>
    <w:rsid w:val="005F6929"/>
    <w:rsid w:val="005F7EBF"/>
    <w:rsid w:val="006137F6"/>
    <w:rsid w:val="00616BDC"/>
    <w:rsid w:val="0061783C"/>
    <w:rsid w:val="0063690D"/>
    <w:rsid w:val="00640E45"/>
    <w:rsid w:val="00643903"/>
    <w:rsid w:val="006457A8"/>
    <w:rsid w:val="00657360"/>
    <w:rsid w:val="00663AA4"/>
    <w:rsid w:val="006655BA"/>
    <w:rsid w:val="006663ED"/>
    <w:rsid w:val="00667322"/>
    <w:rsid w:val="00686F4E"/>
    <w:rsid w:val="006A20C8"/>
    <w:rsid w:val="006A4D0B"/>
    <w:rsid w:val="006B2564"/>
    <w:rsid w:val="006C0BB0"/>
    <w:rsid w:val="006C70F4"/>
    <w:rsid w:val="006D0F07"/>
    <w:rsid w:val="006D5324"/>
    <w:rsid w:val="006E04C0"/>
    <w:rsid w:val="006E4B75"/>
    <w:rsid w:val="006E78B9"/>
    <w:rsid w:val="006F3124"/>
    <w:rsid w:val="006F3B34"/>
    <w:rsid w:val="007000B9"/>
    <w:rsid w:val="00703BD7"/>
    <w:rsid w:val="00704474"/>
    <w:rsid w:val="00705727"/>
    <w:rsid w:val="00706F99"/>
    <w:rsid w:val="00707225"/>
    <w:rsid w:val="007127E6"/>
    <w:rsid w:val="00712CDF"/>
    <w:rsid w:val="007144C8"/>
    <w:rsid w:val="007162EB"/>
    <w:rsid w:val="007269ED"/>
    <w:rsid w:val="00731158"/>
    <w:rsid w:val="00731C0C"/>
    <w:rsid w:val="0073334C"/>
    <w:rsid w:val="00735034"/>
    <w:rsid w:val="0074094C"/>
    <w:rsid w:val="00743E21"/>
    <w:rsid w:val="00744BC5"/>
    <w:rsid w:val="00745388"/>
    <w:rsid w:val="00750F56"/>
    <w:rsid w:val="00761A4E"/>
    <w:rsid w:val="00770C8B"/>
    <w:rsid w:val="00776A75"/>
    <w:rsid w:val="007958A7"/>
    <w:rsid w:val="00796164"/>
    <w:rsid w:val="007A35F5"/>
    <w:rsid w:val="007A4966"/>
    <w:rsid w:val="007A6D43"/>
    <w:rsid w:val="007B04DC"/>
    <w:rsid w:val="007B1239"/>
    <w:rsid w:val="007B71FE"/>
    <w:rsid w:val="007C39E6"/>
    <w:rsid w:val="007C3F35"/>
    <w:rsid w:val="007C6CCE"/>
    <w:rsid w:val="007D4591"/>
    <w:rsid w:val="007D6BFF"/>
    <w:rsid w:val="007E05E9"/>
    <w:rsid w:val="007E0D0F"/>
    <w:rsid w:val="007E252B"/>
    <w:rsid w:val="007E3202"/>
    <w:rsid w:val="007E330D"/>
    <w:rsid w:val="007E6E97"/>
    <w:rsid w:val="007F3E0D"/>
    <w:rsid w:val="007F4FB5"/>
    <w:rsid w:val="00801617"/>
    <w:rsid w:val="00805511"/>
    <w:rsid w:val="008070EE"/>
    <w:rsid w:val="00810B36"/>
    <w:rsid w:val="0081216C"/>
    <w:rsid w:val="00825A02"/>
    <w:rsid w:val="00830119"/>
    <w:rsid w:val="0083243D"/>
    <w:rsid w:val="00835F03"/>
    <w:rsid w:val="00846AAA"/>
    <w:rsid w:val="00846AD3"/>
    <w:rsid w:val="0086564B"/>
    <w:rsid w:val="00867581"/>
    <w:rsid w:val="0087114E"/>
    <w:rsid w:val="008746C8"/>
    <w:rsid w:val="008768B9"/>
    <w:rsid w:val="00877FAE"/>
    <w:rsid w:val="0089058C"/>
    <w:rsid w:val="008916B6"/>
    <w:rsid w:val="00896632"/>
    <w:rsid w:val="00896717"/>
    <w:rsid w:val="008A4C0B"/>
    <w:rsid w:val="008B13E9"/>
    <w:rsid w:val="008B491F"/>
    <w:rsid w:val="008B4D27"/>
    <w:rsid w:val="008B58DC"/>
    <w:rsid w:val="008C7D22"/>
    <w:rsid w:val="008D079F"/>
    <w:rsid w:val="008D46E3"/>
    <w:rsid w:val="008E2040"/>
    <w:rsid w:val="008E6371"/>
    <w:rsid w:val="008E750E"/>
    <w:rsid w:val="008F418E"/>
    <w:rsid w:val="00912A9D"/>
    <w:rsid w:val="00912C03"/>
    <w:rsid w:val="009153E9"/>
    <w:rsid w:val="00926DC8"/>
    <w:rsid w:val="00953161"/>
    <w:rsid w:val="00956626"/>
    <w:rsid w:val="00957117"/>
    <w:rsid w:val="00964DCA"/>
    <w:rsid w:val="00966459"/>
    <w:rsid w:val="00971AED"/>
    <w:rsid w:val="00971D8A"/>
    <w:rsid w:val="00975A43"/>
    <w:rsid w:val="00980A95"/>
    <w:rsid w:val="00991F3D"/>
    <w:rsid w:val="00995095"/>
    <w:rsid w:val="00995DF5"/>
    <w:rsid w:val="00996667"/>
    <w:rsid w:val="009974E6"/>
    <w:rsid w:val="009A50DB"/>
    <w:rsid w:val="009A7D02"/>
    <w:rsid w:val="009B558D"/>
    <w:rsid w:val="009B7AD9"/>
    <w:rsid w:val="009C0866"/>
    <w:rsid w:val="009C3CDF"/>
    <w:rsid w:val="009C7F35"/>
    <w:rsid w:val="009D42A7"/>
    <w:rsid w:val="009E0D47"/>
    <w:rsid w:val="009E3599"/>
    <w:rsid w:val="009F094E"/>
    <w:rsid w:val="009F4053"/>
    <w:rsid w:val="009F7BB4"/>
    <w:rsid w:val="00A024AB"/>
    <w:rsid w:val="00A03367"/>
    <w:rsid w:val="00A04461"/>
    <w:rsid w:val="00A27C87"/>
    <w:rsid w:val="00A30DB4"/>
    <w:rsid w:val="00A317CB"/>
    <w:rsid w:val="00A31D40"/>
    <w:rsid w:val="00A36E11"/>
    <w:rsid w:val="00A422C4"/>
    <w:rsid w:val="00A42CF9"/>
    <w:rsid w:val="00A44EB8"/>
    <w:rsid w:val="00A45A62"/>
    <w:rsid w:val="00A5064D"/>
    <w:rsid w:val="00A51FAA"/>
    <w:rsid w:val="00A727C6"/>
    <w:rsid w:val="00A811C3"/>
    <w:rsid w:val="00A97920"/>
    <w:rsid w:val="00A97C94"/>
    <w:rsid w:val="00AA0383"/>
    <w:rsid w:val="00AB1CA1"/>
    <w:rsid w:val="00AC2189"/>
    <w:rsid w:val="00AC2B14"/>
    <w:rsid w:val="00AD1D54"/>
    <w:rsid w:val="00AD22A4"/>
    <w:rsid w:val="00AD49B3"/>
    <w:rsid w:val="00AE040A"/>
    <w:rsid w:val="00AE46F9"/>
    <w:rsid w:val="00AF116E"/>
    <w:rsid w:val="00AF555C"/>
    <w:rsid w:val="00AF59EC"/>
    <w:rsid w:val="00AF5B88"/>
    <w:rsid w:val="00B12FE2"/>
    <w:rsid w:val="00B13389"/>
    <w:rsid w:val="00B1363C"/>
    <w:rsid w:val="00B14E97"/>
    <w:rsid w:val="00B178C5"/>
    <w:rsid w:val="00B34439"/>
    <w:rsid w:val="00B37F1D"/>
    <w:rsid w:val="00B560CF"/>
    <w:rsid w:val="00B56BAD"/>
    <w:rsid w:val="00B57804"/>
    <w:rsid w:val="00B64EC8"/>
    <w:rsid w:val="00B71F38"/>
    <w:rsid w:val="00B7263F"/>
    <w:rsid w:val="00B745E7"/>
    <w:rsid w:val="00B81384"/>
    <w:rsid w:val="00B91842"/>
    <w:rsid w:val="00BA4241"/>
    <w:rsid w:val="00BA6412"/>
    <w:rsid w:val="00BA6B5D"/>
    <w:rsid w:val="00BB159C"/>
    <w:rsid w:val="00BB4215"/>
    <w:rsid w:val="00BB7A5C"/>
    <w:rsid w:val="00BC192F"/>
    <w:rsid w:val="00BD2BB4"/>
    <w:rsid w:val="00BD6F99"/>
    <w:rsid w:val="00BE39E4"/>
    <w:rsid w:val="00BE4FE3"/>
    <w:rsid w:val="00BE5127"/>
    <w:rsid w:val="00BF101D"/>
    <w:rsid w:val="00BF71C4"/>
    <w:rsid w:val="00C01957"/>
    <w:rsid w:val="00C05E7D"/>
    <w:rsid w:val="00C1566C"/>
    <w:rsid w:val="00C16402"/>
    <w:rsid w:val="00C20959"/>
    <w:rsid w:val="00C36AE9"/>
    <w:rsid w:val="00C40743"/>
    <w:rsid w:val="00C575AE"/>
    <w:rsid w:val="00C662CB"/>
    <w:rsid w:val="00C71F63"/>
    <w:rsid w:val="00C8097F"/>
    <w:rsid w:val="00C91D3C"/>
    <w:rsid w:val="00CA07B2"/>
    <w:rsid w:val="00CA0ABD"/>
    <w:rsid w:val="00CA5453"/>
    <w:rsid w:val="00CB21DB"/>
    <w:rsid w:val="00CB3016"/>
    <w:rsid w:val="00CB3174"/>
    <w:rsid w:val="00CB57B9"/>
    <w:rsid w:val="00CC06E1"/>
    <w:rsid w:val="00CC09EE"/>
    <w:rsid w:val="00CD147C"/>
    <w:rsid w:val="00CE0BCD"/>
    <w:rsid w:val="00CE1B45"/>
    <w:rsid w:val="00CF1A62"/>
    <w:rsid w:val="00CF65C8"/>
    <w:rsid w:val="00CF7D78"/>
    <w:rsid w:val="00D02ED1"/>
    <w:rsid w:val="00D11DA8"/>
    <w:rsid w:val="00D12C73"/>
    <w:rsid w:val="00D14F9F"/>
    <w:rsid w:val="00D16438"/>
    <w:rsid w:val="00D25D60"/>
    <w:rsid w:val="00D33A43"/>
    <w:rsid w:val="00D3494C"/>
    <w:rsid w:val="00D51583"/>
    <w:rsid w:val="00D630EA"/>
    <w:rsid w:val="00D73E99"/>
    <w:rsid w:val="00D80774"/>
    <w:rsid w:val="00D978F8"/>
    <w:rsid w:val="00DA0C58"/>
    <w:rsid w:val="00DA5977"/>
    <w:rsid w:val="00DB1437"/>
    <w:rsid w:val="00DB56AE"/>
    <w:rsid w:val="00DC2D8C"/>
    <w:rsid w:val="00DE5451"/>
    <w:rsid w:val="00DF42B5"/>
    <w:rsid w:val="00DF5615"/>
    <w:rsid w:val="00E01C5D"/>
    <w:rsid w:val="00E10C37"/>
    <w:rsid w:val="00E12809"/>
    <w:rsid w:val="00E15B25"/>
    <w:rsid w:val="00E23A6F"/>
    <w:rsid w:val="00E241CA"/>
    <w:rsid w:val="00E2765F"/>
    <w:rsid w:val="00E27E78"/>
    <w:rsid w:val="00E315D9"/>
    <w:rsid w:val="00E501FB"/>
    <w:rsid w:val="00E53661"/>
    <w:rsid w:val="00E53B78"/>
    <w:rsid w:val="00E55B59"/>
    <w:rsid w:val="00E57BE3"/>
    <w:rsid w:val="00E64607"/>
    <w:rsid w:val="00E80FB0"/>
    <w:rsid w:val="00E84F98"/>
    <w:rsid w:val="00E923DB"/>
    <w:rsid w:val="00E96F62"/>
    <w:rsid w:val="00E9727A"/>
    <w:rsid w:val="00EA4D0C"/>
    <w:rsid w:val="00EC19E4"/>
    <w:rsid w:val="00EC6EB5"/>
    <w:rsid w:val="00EC7B5E"/>
    <w:rsid w:val="00ED1000"/>
    <w:rsid w:val="00ED4D6B"/>
    <w:rsid w:val="00EE21DC"/>
    <w:rsid w:val="00EE5042"/>
    <w:rsid w:val="00EE79C5"/>
    <w:rsid w:val="00EF0E2A"/>
    <w:rsid w:val="00F0341D"/>
    <w:rsid w:val="00F05BA4"/>
    <w:rsid w:val="00F115FA"/>
    <w:rsid w:val="00F11CD8"/>
    <w:rsid w:val="00F21BA3"/>
    <w:rsid w:val="00F23820"/>
    <w:rsid w:val="00F23ADA"/>
    <w:rsid w:val="00F25195"/>
    <w:rsid w:val="00F2647B"/>
    <w:rsid w:val="00F309E5"/>
    <w:rsid w:val="00F333B5"/>
    <w:rsid w:val="00F367AC"/>
    <w:rsid w:val="00F36C8D"/>
    <w:rsid w:val="00F4099D"/>
    <w:rsid w:val="00F40E1C"/>
    <w:rsid w:val="00F56F23"/>
    <w:rsid w:val="00F5728E"/>
    <w:rsid w:val="00F61669"/>
    <w:rsid w:val="00F6272D"/>
    <w:rsid w:val="00F808D3"/>
    <w:rsid w:val="00F81CC2"/>
    <w:rsid w:val="00F82C26"/>
    <w:rsid w:val="00F833FA"/>
    <w:rsid w:val="00F848C3"/>
    <w:rsid w:val="00F84BCD"/>
    <w:rsid w:val="00F8773C"/>
    <w:rsid w:val="00F946CA"/>
    <w:rsid w:val="00F9501C"/>
    <w:rsid w:val="00F957AB"/>
    <w:rsid w:val="00FA2DFF"/>
    <w:rsid w:val="00FA4582"/>
    <w:rsid w:val="00FA5974"/>
    <w:rsid w:val="00FB6B14"/>
    <w:rsid w:val="00FC227D"/>
    <w:rsid w:val="00FC2555"/>
    <w:rsid w:val="00FC72E2"/>
    <w:rsid w:val="00FC7E45"/>
    <w:rsid w:val="00FD1152"/>
    <w:rsid w:val="00FE4FF4"/>
    <w:rsid w:val="00FF0FD4"/>
    <w:rsid w:val="00FF15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b/>
        <w:color w:val="4F81BD" w:themeColor="accent1"/>
        <w:szCs w:val="18"/>
        <w:lang w:val="cs-CZ" w:eastAsia="en-US" w:bidi="ar-SA"/>
      </w:rPr>
    </w:rPrDefault>
    <w:pPrDefault>
      <w:pPr>
        <w:spacing w:line="320" w:lineRule="exact"/>
        <w:ind w:left="709" w:hanging="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5AE"/>
    <w:pPr>
      <w:ind w:left="0" w:firstLine="0"/>
    </w:pPr>
    <w:rPr>
      <w:b w:val="0"/>
      <w:color w:val="auto"/>
      <w:sz w:val="22"/>
    </w:rPr>
  </w:style>
  <w:style w:type="paragraph" w:styleId="Heading1">
    <w:name w:val="heading 1"/>
    <w:basedOn w:val="Nadpis1"/>
    <w:next w:val="Normal"/>
    <w:link w:val="Heading1Char"/>
    <w:uiPriority w:val="9"/>
    <w:qFormat/>
    <w:rsid w:val="00FD1152"/>
    <w:pPr>
      <w:outlineLvl w:val="0"/>
    </w:pPr>
    <w:rPr>
      <w:rFonts w:asciiTheme="minorHAnsi" w:hAnsiTheme="minorHAnsi"/>
      <w:sz w:val="22"/>
      <w:szCs w:val="22"/>
    </w:rPr>
  </w:style>
  <w:style w:type="paragraph" w:styleId="Heading2">
    <w:name w:val="heading 2"/>
    <w:basedOn w:val="Nadpis2"/>
    <w:next w:val="Normal"/>
    <w:link w:val="Heading2Char"/>
    <w:uiPriority w:val="9"/>
    <w:unhideWhenUsed/>
    <w:qFormat/>
    <w:rsid w:val="00FD1152"/>
    <w:pPr>
      <w:outlineLvl w:val="1"/>
    </w:pPr>
    <w:rPr>
      <w:rFonts w:asciiTheme="minorHAnsi" w:hAnsiTheme="minorHAnsi"/>
      <w:sz w:val="22"/>
      <w:szCs w:val="22"/>
    </w:rPr>
  </w:style>
  <w:style w:type="paragraph" w:styleId="Heading3">
    <w:name w:val="heading 3"/>
    <w:basedOn w:val="Nadpis3"/>
    <w:next w:val="Normal"/>
    <w:link w:val="Heading3Char"/>
    <w:uiPriority w:val="9"/>
    <w:unhideWhenUsed/>
    <w:qFormat/>
    <w:rsid w:val="00FD1152"/>
    <w:pPr>
      <w:outlineLvl w:val="2"/>
    </w:pPr>
    <w:rPr>
      <w:rFonts w:asciiTheme="minorHAnsi" w:hAnsiTheme="minorHAnsi"/>
      <w:sz w:val="22"/>
      <w:szCs w:val="22"/>
    </w:rPr>
  </w:style>
  <w:style w:type="paragraph" w:styleId="Heading4">
    <w:name w:val="heading 4"/>
    <w:basedOn w:val="Normal"/>
    <w:next w:val="Normal"/>
    <w:link w:val="Heading4Char"/>
    <w:uiPriority w:val="9"/>
    <w:unhideWhenUsed/>
    <w:qFormat/>
    <w:rsid w:val="00F409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152"/>
    <w:rPr>
      <w:rFonts w:asciiTheme="minorHAnsi" w:hAnsiTheme="minorHAnsi"/>
      <w:caps/>
      <w:color w:val="365F91" w:themeColor="accent1" w:themeShade="BF"/>
      <w:sz w:val="22"/>
      <w:szCs w:val="22"/>
      <w:u w:val="single"/>
    </w:rPr>
  </w:style>
  <w:style w:type="paragraph" w:styleId="ListParagraph">
    <w:name w:val="List Paragraph"/>
    <w:basedOn w:val="Normal"/>
    <w:uiPriority w:val="34"/>
    <w:qFormat/>
    <w:rsid w:val="00CF1A62"/>
    <w:pPr>
      <w:ind w:left="720"/>
      <w:contextualSpacing/>
    </w:pPr>
  </w:style>
  <w:style w:type="character" w:styleId="CommentReference">
    <w:name w:val="annotation reference"/>
    <w:basedOn w:val="DefaultParagraphFont"/>
    <w:uiPriority w:val="99"/>
    <w:semiHidden/>
    <w:unhideWhenUsed/>
    <w:rsid w:val="00BB159C"/>
    <w:rPr>
      <w:sz w:val="16"/>
      <w:szCs w:val="16"/>
    </w:rPr>
  </w:style>
  <w:style w:type="paragraph" w:styleId="CommentText">
    <w:name w:val="annotation text"/>
    <w:basedOn w:val="Normal"/>
    <w:link w:val="CommentTextChar"/>
    <w:uiPriority w:val="99"/>
    <w:semiHidden/>
    <w:unhideWhenUsed/>
    <w:rsid w:val="00BB159C"/>
    <w:pPr>
      <w:spacing w:line="240" w:lineRule="auto"/>
    </w:pPr>
    <w:rPr>
      <w:sz w:val="20"/>
      <w:szCs w:val="20"/>
    </w:rPr>
  </w:style>
  <w:style w:type="character" w:customStyle="1" w:styleId="CommentTextChar">
    <w:name w:val="Comment Text Char"/>
    <w:basedOn w:val="DefaultParagraphFont"/>
    <w:link w:val="CommentText"/>
    <w:uiPriority w:val="99"/>
    <w:semiHidden/>
    <w:rsid w:val="00BB159C"/>
    <w:rPr>
      <w:b w:val="0"/>
      <w:color w:val="auto"/>
      <w:szCs w:val="20"/>
    </w:rPr>
  </w:style>
  <w:style w:type="paragraph" w:styleId="CommentSubject">
    <w:name w:val="annotation subject"/>
    <w:basedOn w:val="CommentText"/>
    <w:next w:val="CommentText"/>
    <w:link w:val="CommentSubjectChar"/>
    <w:uiPriority w:val="99"/>
    <w:semiHidden/>
    <w:unhideWhenUsed/>
    <w:rsid w:val="00BB159C"/>
    <w:rPr>
      <w:b/>
      <w:bCs/>
    </w:rPr>
  </w:style>
  <w:style w:type="character" w:customStyle="1" w:styleId="CommentSubjectChar">
    <w:name w:val="Comment Subject Char"/>
    <w:basedOn w:val="CommentTextChar"/>
    <w:link w:val="CommentSubject"/>
    <w:uiPriority w:val="99"/>
    <w:semiHidden/>
    <w:rsid w:val="00BB159C"/>
    <w:rPr>
      <w:b/>
      <w:bCs/>
      <w:color w:val="auto"/>
      <w:szCs w:val="20"/>
    </w:rPr>
  </w:style>
  <w:style w:type="paragraph" w:styleId="BalloonText">
    <w:name w:val="Balloon Text"/>
    <w:basedOn w:val="Normal"/>
    <w:link w:val="BalloonTextChar"/>
    <w:uiPriority w:val="99"/>
    <w:semiHidden/>
    <w:unhideWhenUsed/>
    <w:rsid w:val="00BB15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59C"/>
    <w:rPr>
      <w:rFonts w:ascii="Tahoma" w:hAnsi="Tahoma" w:cs="Tahoma"/>
      <w:b w:val="0"/>
      <w:color w:val="auto"/>
      <w:sz w:val="16"/>
      <w:szCs w:val="16"/>
    </w:rPr>
  </w:style>
  <w:style w:type="table" w:styleId="TableGrid">
    <w:name w:val="Table Grid"/>
    <w:basedOn w:val="TableNormal"/>
    <w:uiPriority w:val="59"/>
    <w:rsid w:val="008E750E"/>
    <w:pPr>
      <w:spacing w:line="240" w:lineRule="auto"/>
      <w:jc w:val="center"/>
    </w:pPr>
    <w:rPr>
      <w:rFonts w:ascii="Calibri" w:hAnsi="Calibri"/>
      <w:color w:val="365F91" w:themeColor="accent1" w:themeShade="BF"/>
      <w:sz w:val="22"/>
    </w:rPr>
    <w:tblPr>
      <w:tblBorders>
        <w:top w:val="single" w:sz="4" w:space="0" w:color="auto"/>
        <w:bottom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42B5"/>
    <w:pPr>
      <w:tabs>
        <w:tab w:val="center" w:pos="4536"/>
        <w:tab w:val="right" w:pos="9072"/>
      </w:tabs>
      <w:spacing w:line="240" w:lineRule="auto"/>
    </w:pPr>
  </w:style>
  <w:style w:type="character" w:customStyle="1" w:styleId="HeaderChar">
    <w:name w:val="Header Char"/>
    <w:basedOn w:val="DefaultParagraphFont"/>
    <w:link w:val="Header"/>
    <w:uiPriority w:val="99"/>
    <w:rsid w:val="00DF42B5"/>
    <w:rPr>
      <w:b w:val="0"/>
      <w:color w:val="auto"/>
      <w:sz w:val="22"/>
    </w:rPr>
  </w:style>
  <w:style w:type="paragraph" w:styleId="Footer">
    <w:name w:val="footer"/>
    <w:basedOn w:val="Normal"/>
    <w:link w:val="FooterChar"/>
    <w:uiPriority w:val="99"/>
    <w:unhideWhenUsed/>
    <w:rsid w:val="00DF42B5"/>
    <w:pPr>
      <w:tabs>
        <w:tab w:val="center" w:pos="4536"/>
        <w:tab w:val="right" w:pos="9072"/>
      </w:tabs>
      <w:spacing w:line="240" w:lineRule="auto"/>
    </w:pPr>
  </w:style>
  <w:style w:type="character" w:customStyle="1" w:styleId="FooterChar">
    <w:name w:val="Footer Char"/>
    <w:basedOn w:val="DefaultParagraphFont"/>
    <w:link w:val="Footer"/>
    <w:uiPriority w:val="99"/>
    <w:rsid w:val="00DF42B5"/>
    <w:rPr>
      <w:b w:val="0"/>
      <w:color w:val="auto"/>
      <w:sz w:val="22"/>
    </w:rPr>
  </w:style>
  <w:style w:type="character" w:customStyle="1" w:styleId="Heading2Char">
    <w:name w:val="Heading 2 Char"/>
    <w:basedOn w:val="DefaultParagraphFont"/>
    <w:link w:val="Heading2"/>
    <w:uiPriority w:val="9"/>
    <w:rsid w:val="00FD1152"/>
    <w:rPr>
      <w:rFonts w:asciiTheme="minorHAnsi" w:hAnsiTheme="minorHAnsi"/>
      <w:caps/>
      <w:color w:val="365F91" w:themeColor="accent1" w:themeShade="BF"/>
      <w:sz w:val="22"/>
      <w:szCs w:val="22"/>
      <w:u w:val="single"/>
    </w:rPr>
  </w:style>
  <w:style w:type="paragraph" w:customStyle="1" w:styleId="Default">
    <w:name w:val="Default"/>
    <w:rsid w:val="00706F99"/>
    <w:pPr>
      <w:autoSpaceDE w:val="0"/>
      <w:autoSpaceDN w:val="0"/>
      <w:adjustRightInd w:val="0"/>
      <w:spacing w:line="240" w:lineRule="auto"/>
      <w:ind w:left="0" w:firstLine="0"/>
    </w:pPr>
    <w:rPr>
      <w:rFonts w:ascii="Arial" w:hAnsi="Arial" w:cs="Arial"/>
      <w:color w:val="000000"/>
      <w:sz w:val="24"/>
      <w:szCs w:val="24"/>
    </w:rPr>
  </w:style>
  <w:style w:type="character" w:styleId="Hyperlink">
    <w:name w:val="Hyperlink"/>
    <w:basedOn w:val="DefaultParagraphFont"/>
    <w:uiPriority w:val="99"/>
    <w:unhideWhenUsed/>
    <w:rsid w:val="00B34439"/>
    <w:rPr>
      <w:color w:val="0000FF" w:themeColor="hyperlink"/>
      <w:u w:val="single"/>
    </w:rPr>
  </w:style>
  <w:style w:type="character" w:styleId="FollowedHyperlink">
    <w:name w:val="FollowedHyperlink"/>
    <w:basedOn w:val="DefaultParagraphFont"/>
    <w:uiPriority w:val="99"/>
    <w:semiHidden/>
    <w:unhideWhenUsed/>
    <w:rsid w:val="00B34439"/>
    <w:rPr>
      <w:color w:val="800080" w:themeColor="followedHyperlink"/>
      <w:u w:val="single"/>
    </w:rPr>
  </w:style>
  <w:style w:type="table" w:styleId="MediumList2-Accent1">
    <w:name w:val="Medium List 2 Accent 1"/>
    <w:basedOn w:val="TableNormal"/>
    <w:uiPriority w:val="66"/>
    <w:rsid w:val="00022706"/>
    <w:pPr>
      <w:spacing w:line="240" w:lineRule="auto"/>
      <w:ind w:left="0" w:firstLine="0"/>
    </w:pPr>
    <w:rPr>
      <w:rFonts w:asciiTheme="majorHAnsi" w:eastAsiaTheme="majorEastAsia" w:hAnsiTheme="majorHAnsi" w:cstheme="majorBidi"/>
      <w:b w:val="0"/>
      <w:color w:val="000000" w:themeColor="text1"/>
      <w:sz w:val="22"/>
      <w:szCs w:val="22"/>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3Char">
    <w:name w:val="Heading 3 Char"/>
    <w:basedOn w:val="DefaultParagraphFont"/>
    <w:link w:val="Heading3"/>
    <w:uiPriority w:val="9"/>
    <w:rsid w:val="00FD1152"/>
    <w:rPr>
      <w:rFonts w:asciiTheme="minorHAnsi" w:hAnsiTheme="minorHAnsi"/>
      <w:caps/>
      <w:color w:val="365F91" w:themeColor="accent1" w:themeShade="BF"/>
      <w:sz w:val="22"/>
      <w:szCs w:val="22"/>
      <w:u w:val="single"/>
    </w:rPr>
  </w:style>
  <w:style w:type="character" w:customStyle="1" w:styleId="Heading4Char">
    <w:name w:val="Heading 4 Char"/>
    <w:basedOn w:val="DefaultParagraphFont"/>
    <w:link w:val="Heading4"/>
    <w:uiPriority w:val="9"/>
    <w:rsid w:val="00F4099D"/>
    <w:rPr>
      <w:rFonts w:asciiTheme="majorHAnsi" w:eastAsiaTheme="majorEastAsia" w:hAnsiTheme="majorHAnsi" w:cstheme="majorBidi"/>
      <w:bCs/>
      <w:i/>
      <w:iCs/>
      <w:sz w:val="22"/>
    </w:rPr>
  </w:style>
  <w:style w:type="paragraph" w:styleId="TOC1">
    <w:name w:val="toc 1"/>
    <w:basedOn w:val="Normal"/>
    <w:next w:val="Normal"/>
    <w:autoRedefine/>
    <w:uiPriority w:val="39"/>
    <w:unhideWhenUsed/>
    <w:rsid w:val="00F4099D"/>
    <w:pPr>
      <w:spacing w:before="360" w:after="360"/>
    </w:pPr>
    <w:rPr>
      <w:rFonts w:asciiTheme="minorHAnsi" w:hAnsiTheme="minorHAnsi"/>
      <w:b/>
      <w:bCs/>
      <w:caps/>
      <w:szCs w:val="22"/>
      <w:u w:val="single"/>
    </w:rPr>
  </w:style>
  <w:style w:type="paragraph" w:styleId="TOC2">
    <w:name w:val="toc 2"/>
    <w:basedOn w:val="Normal"/>
    <w:next w:val="Normal"/>
    <w:autoRedefine/>
    <w:uiPriority w:val="39"/>
    <w:unhideWhenUsed/>
    <w:rsid w:val="00F4099D"/>
    <w:rPr>
      <w:rFonts w:asciiTheme="minorHAnsi" w:hAnsiTheme="minorHAnsi"/>
      <w:b/>
      <w:bCs/>
      <w:smallCaps/>
      <w:szCs w:val="22"/>
    </w:rPr>
  </w:style>
  <w:style w:type="paragraph" w:styleId="TOC3">
    <w:name w:val="toc 3"/>
    <w:basedOn w:val="Normal"/>
    <w:next w:val="Normal"/>
    <w:autoRedefine/>
    <w:uiPriority w:val="39"/>
    <w:unhideWhenUsed/>
    <w:rsid w:val="00F4099D"/>
    <w:rPr>
      <w:rFonts w:asciiTheme="minorHAnsi" w:hAnsiTheme="minorHAnsi"/>
      <w:smallCaps/>
      <w:szCs w:val="22"/>
    </w:rPr>
  </w:style>
  <w:style w:type="paragraph" w:styleId="TOC4">
    <w:name w:val="toc 4"/>
    <w:basedOn w:val="Normal"/>
    <w:next w:val="Normal"/>
    <w:autoRedefine/>
    <w:uiPriority w:val="39"/>
    <w:unhideWhenUsed/>
    <w:rsid w:val="00F4099D"/>
    <w:rPr>
      <w:rFonts w:asciiTheme="minorHAnsi" w:hAnsiTheme="minorHAnsi"/>
      <w:szCs w:val="22"/>
    </w:rPr>
  </w:style>
  <w:style w:type="paragraph" w:styleId="TOC5">
    <w:name w:val="toc 5"/>
    <w:basedOn w:val="Normal"/>
    <w:next w:val="Normal"/>
    <w:autoRedefine/>
    <w:uiPriority w:val="39"/>
    <w:unhideWhenUsed/>
    <w:rsid w:val="00F4099D"/>
    <w:rPr>
      <w:rFonts w:asciiTheme="minorHAnsi" w:hAnsiTheme="minorHAnsi"/>
      <w:szCs w:val="22"/>
    </w:rPr>
  </w:style>
  <w:style w:type="paragraph" w:styleId="TOC6">
    <w:name w:val="toc 6"/>
    <w:basedOn w:val="Normal"/>
    <w:next w:val="Normal"/>
    <w:autoRedefine/>
    <w:uiPriority w:val="39"/>
    <w:unhideWhenUsed/>
    <w:rsid w:val="00F4099D"/>
    <w:rPr>
      <w:rFonts w:asciiTheme="minorHAnsi" w:hAnsiTheme="minorHAnsi"/>
      <w:szCs w:val="22"/>
    </w:rPr>
  </w:style>
  <w:style w:type="paragraph" w:styleId="TOC7">
    <w:name w:val="toc 7"/>
    <w:basedOn w:val="Normal"/>
    <w:next w:val="Normal"/>
    <w:autoRedefine/>
    <w:uiPriority w:val="39"/>
    <w:unhideWhenUsed/>
    <w:rsid w:val="00F4099D"/>
    <w:rPr>
      <w:rFonts w:asciiTheme="minorHAnsi" w:hAnsiTheme="minorHAnsi"/>
      <w:szCs w:val="22"/>
    </w:rPr>
  </w:style>
  <w:style w:type="paragraph" w:styleId="TOC8">
    <w:name w:val="toc 8"/>
    <w:basedOn w:val="Normal"/>
    <w:next w:val="Normal"/>
    <w:autoRedefine/>
    <w:uiPriority w:val="39"/>
    <w:unhideWhenUsed/>
    <w:rsid w:val="00F4099D"/>
    <w:rPr>
      <w:rFonts w:asciiTheme="minorHAnsi" w:hAnsiTheme="minorHAnsi"/>
      <w:szCs w:val="22"/>
    </w:rPr>
  </w:style>
  <w:style w:type="paragraph" w:styleId="TOC9">
    <w:name w:val="toc 9"/>
    <w:basedOn w:val="Normal"/>
    <w:next w:val="Normal"/>
    <w:autoRedefine/>
    <w:uiPriority w:val="39"/>
    <w:unhideWhenUsed/>
    <w:rsid w:val="00F4099D"/>
    <w:rPr>
      <w:rFonts w:asciiTheme="minorHAnsi" w:hAnsiTheme="minorHAnsi"/>
      <w:szCs w:val="22"/>
    </w:rPr>
  </w:style>
  <w:style w:type="paragraph" w:customStyle="1" w:styleId="Nadpis1">
    <w:name w:val="Nadpis 1"/>
    <w:basedOn w:val="Normal"/>
    <w:rsid w:val="009F094E"/>
    <w:pPr>
      <w:numPr>
        <w:numId w:val="12"/>
      </w:numPr>
    </w:pPr>
    <w:rPr>
      <w:rFonts w:ascii="Calibri" w:hAnsi="Calibri"/>
      <w:b/>
      <w:caps/>
      <w:color w:val="365F91" w:themeColor="accent1" w:themeShade="BF"/>
      <w:sz w:val="24"/>
      <w:u w:val="single"/>
    </w:rPr>
  </w:style>
  <w:style w:type="paragraph" w:customStyle="1" w:styleId="Nadpis2">
    <w:name w:val="Nadpis 2"/>
    <w:basedOn w:val="Nadpis1"/>
    <w:rsid w:val="00447B0E"/>
    <w:pPr>
      <w:numPr>
        <w:ilvl w:val="1"/>
      </w:numPr>
    </w:pPr>
  </w:style>
  <w:style w:type="paragraph" w:customStyle="1" w:styleId="Nadpis3">
    <w:name w:val="Nadpis 3"/>
    <w:basedOn w:val="Nadpis1"/>
    <w:rsid w:val="00447B0E"/>
    <w:pPr>
      <w:numPr>
        <w:ilvl w:val="2"/>
      </w:numPr>
    </w:pPr>
  </w:style>
  <w:style w:type="paragraph" w:customStyle="1" w:styleId="Nadpis4">
    <w:name w:val="Nadpis 4"/>
    <w:basedOn w:val="Normal"/>
    <w:rsid w:val="0089058C"/>
  </w:style>
  <w:style w:type="paragraph" w:customStyle="1" w:styleId="Nadpis5">
    <w:name w:val="Nadpis 5"/>
    <w:basedOn w:val="Normal"/>
    <w:rsid w:val="0089058C"/>
  </w:style>
  <w:style w:type="paragraph" w:customStyle="1" w:styleId="Nadpis6">
    <w:name w:val="Nadpis 6"/>
    <w:basedOn w:val="Normal"/>
    <w:rsid w:val="0089058C"/>
  </w:style>
  <w:style w:type="paragraph" w:customStyle="1" w:styleId="Nadpis7">
    <w:name w:val="Nadpis 7"/>
    <w:basedOn w:val="Normal"/>
    <w:rsid w:val="0089058C"/>
  </w:style>
  <w:style w:type="paragraph" w:customStyle="1" w:styleId="Nadpis8">
    <w:name w:val="Nadpis 8"/>
    <w:basedOn w:val="Normal"/>
    <w:rsid w:val="0089058C"/>
  </w:style>
  <w:style w:type="paragraph" w:customStyle="1" w:styleId="Nadpis9">
    <w:name w:val="Nadpis 9"/>
    <w:basedOn w:val="Normal"/>
    <w:rsid w:val="0089058C"/>
  </w:style>
  <w:style w:type="table" w:customStyle="1" w:styleId="Style1">
    <w:name w:val="Style1"/>
    <w:basedOn w:val="TableNormal"/>
    <w:uiPriority w:val="99"/>
    <w:rsid w:val="003440E6"/>
    <w:pPr>
      <w:spacing w:line="240" w:lineRule="auto"/>
      <w:ind w:left="0" w:firstLine="0"/>
    </w:pPr>
    <w:rPr>
      <w:rFonts w:ascii="Calibri" w:hAnsi="Calibri"/>
      <w:b w:val="0"/>
      <w:color w:val="808080" w:themeColor="background1" w:themeShade="80"/>
      <w:sz w:val="22"/>
    </w:rPr>
    <w:tblPr>
      <w:tblBorders>
        <w:insideH w:val="dashSmallGap" w:sz="4" w:space="0" w:color="auto"/>
      </w:tblBorders>
    </w:tblPr>
  </w:style>
  <w:style w:type="paragraph" w:styleId="Caption">
    <w:name w:val="caption"/>
    <w:basedOn w:val="Normal"/>
    <w:next w:val="Normal"/>
    <w:uiPriority w:val="35"/>
    <w:unhideWhenUsed/>
    <w:qFormat/>
    <w:rsid w:val="009F4053"/>
    <w:pPr>
      <w:spacing w:after="200" w:line="240" w:lineRule="auto"/>
    </w:pPr>
    <w:rPr>
      <w:rFonts w:ascii="Calibri" w:hAnsi="Calibri"/>
      <w:b/>
      <w:bCs/>
      <w:color w:val="365F91" w:themeColor="accent1" w:themeShade="BF"/>
    </w:rPr>
  </w:style>
  <w:style w:type="character" w:styleId="SubtleReference">
    <w:name w:val="Subtle Reference"/>
    <w:basedOn w:val="DefaultParagraphFont"/>
    <w:uiPriority w:val="31"/>
    <w:qFormat/>
    <w:rsid w:val="009F4053"/>
    <w:rPr>
      <w:rFonts w:ascii="Calibri" w:hAnsi="Calibri"/>
      <w:i/>
      <w:caps w:val="0"/>
      <w:smallCaps w:val="0"/>
      <w:color w:val="365F91" w:themeColor="accent1" w:themeShade="BF"/>
      <w:sz w:val="22"/>
      <w:u w:val="single"/>
    </w:rPr>
  </w:style>
  <w:style w:type="paragraph" w:styleId="TOCHeading">
    <w:name w:val="TOC Heading"/>
    <w:basedOn w:val="Heading1"/>
    <w:next w:val="Normal"/>
    <w:uiPriority w:val="39"/>
    <w:unhideWhenUsed/>
    <w:qFormat/>
    <w:rsid w:val="00F05BA4"/>
    <w:pPr>
      <w:numPr>
        <w:numId w:val="0"/>
      </w:numPr>
      <w:spacing w:line="276" w:lineRule="auto"/>
      <w:outlineLvl w:val="9"/>
    </w:pPr>
    <w:rPr>
      <w:rFonts w:asciiTheme="majorHAnsi" w:hAnsiTheme="majorHAnsi"/>
      <w:caps w:val="0"/>
      <w:sz w:val="28"/>
      <w:u w:val="none"/>
      <w:lang w:eastAsia="cs-CZ"/>
    </w:rPr>
  </w:style>
  <w:style w:type="paragraph" w:styleId="Index1">
    <w:name w:val="index 1"/>
    <w:basedOn w:val="Normal"/>
    <w:next w:val="Normal"/>
    <w:autoRedefine/>
    <w:uiPriority w:val="99"/>
    <w:unhideWhenUsed/>
    <w:rsid w:val="00F05BA4"/>
    <w:pPr>
      <w:ind w:left="220" w:hanging="220"/>
    </w:pPr>
    <w:rPr>
      <w:rFonts w:asciiTheme="minorHAnsi" w:hAnsiTheme="minorHAnsi"/>
      <w:sz w:val="18"/>
    </w:rPr>
  </w:style>
  <w:style w:type="paragraph" w:styleId="Index2">
    <w:name w:val="index 2"/>
    <w:basedOn w:val="Normal"/>
    <w:next w:val="Normal"/>
    <w:autoRedefine/>
    <w:uiPriority w:val="99"/>
    <w:unhideWhenUsed/>
    <w:rsid w:val="00F05BA4"/>
    <w:pPr>
      <w:ind w:left="440" w:hanging="220"/>
    </w:pPr>
    <w:rPr>
      <w:rFonts w:asciiTheme="minorHAnsi" w:hAnsiTheme="minorHAnsi"/>
      <w:sz w:val="18"/>
    </w:rPr>
  </w:style>
  <w:style w:type="paragraph" w:styleId="Index3">
    <w:name w:val="index 3"/>
    <w:basedOn w:val="Normal"/>
    <w:next w:val="Normal"/>
    <w:autoRedefine/>
    <w:uiPriority w:val="99"/>
    <w:unhideWhenUsed/>
    <w:rsid w:val="00F05BA4"/>
    <w:pPr>
      <w:ind w:left="660" w:hanging="220"/>
    </w:pPr>
    <w:rPr>
      <w:rFonts w:asciiTheme="minorHAnsi" w:hAnsiTheme="minorHAnsi"/>
      <w:sz w:val="18"/>
    </w:rPr>
  </w:style>
  <w:style w:type="paragraph" w:styleId="Index4">
    <w:name w:val="index 4"/>
    <w:basedOn w:val="Normal"/>
    <w:next w:val="Normal"/>
    <w:autoRedefine/>
    <w:uiPriority w:val="99"/>
    <w:unhideWhenUsed/>
    <w:rsid w:val="00F05BA4"/>
    <w:pPr>
      <w:ind w:left="880" w:hanging="220"/>
    </w:pPr>
    <w:rPr>
      <w:rFonts w:asciiTheme="minorHAnsi" w:hAnsiTheme="minorHAnsi"/>
      <w:sz w:val="18"/>
    </w:rPr>
  </w:style>
  <w:style w:type="paragraph" w:styleId="Index5">
    <w:name w:val="index 5"/>
    <w:basedOn w:val="Normal"/>
    <w:next w:val="Normal"/>
    <w:autoRedefine/>
    <w:uiPriority w:val="99"/>
    <w:unhideWhenUsed/>
    <w:rsid w:val="00F05BA4"/>
    <w:pPr>
      <w:ind w:left="1100" w:hanging="220"/>
    </w:pPr>
    <w:rPr>
      <w:rFonts w:asciiTheme="minorHAnsi" w:hAnsiTheme="minorHAnsi"/>
      <w:sz w:val="18"/>
    </w:rPr>
  </w:style>
  <w:style w:type="paragraph" w:styleId="Index6">
    <w:name w:val="index 6"/>
    <w:basedOn w:val="Normal"/>
    <w:next w:val="Normal"/>
    <w:autoRedefine/>
    <w:uiPriority w:val="99"/>
    <w:unhideWhenUsed/>
    <w:rsid w:val="00F05BA4"/>
    <w:pPr>
      <w:ind w:left="1320" w:hanging="220"/>
    </w:pPr>
    <w:rPr>
      <w:rFonts w:asciiTheme="minorHAnsi" w:hAnsiTheme="minorHAnsi"/>
      <w:sz w:val="18"/>
    </w:rPr>
  </w:style>
  <w:style w:type="paragraph" w:styleId="Index7">
    <w:name w:val="index 7"/>
    <w:basedOn w:val="Normal"/>
    <w:next w:val="Normal"/>
    <w:autoRedefine/>
    <w:uiPriority w:val="99"/>
    <w:unhideWhenUsed/>
    <w:rsid w:val="00F05BA4"/>
    <w:pPr>
      <w:ind w:left="1540" w:hanging="220"/>
    </w:pPr>
    <w:rPr>
      <w:rFonts w:asciiTheme="minorHAnsi" w:hAnsiTheme="minorHAnsi"/>
      <w:sz w:val="18"/>
    </w:rPr>
  </w:style>
  <w:style w:type="paragraph" w:styleId="Index8">
    <w:name w:val="index 8"/>
    <w:basedOn w:val="Normal"/>
    <w:next w:val="Normal"/>
    <w:autoRedefine/>
    <w:uiPriority w:val="99"/>
    <w:unhideWhenUsed/>
    <w:rsid w:val="00F05BA4"/>
    <w:pPr>
      <w:ind w:left="1760" w:hanging="220"/>
    </w:pPr>
    <w:rPr>
      <w:rFonts w:asciiTheme="minorHAnsi" w:hAnsiTheme="minorHAnsi"/>
      <w:sz w:val="18"/>
    </w:rPr>
  </w:style>
  <w:style w:type="paragraph" w:styleId="Index9">
    <w:name w:val="index 9"/>
    <w:basedOn w:val="Normal"/>
    <w:next w:val="Normal"/>
    <w:autoRedefine/>
    <w:uiPriority w:val="99"/>
    <w:unhideWhenUsed/>
    <w:rsid w:val="00F05BA4"/>
    <w:pPr>
      <w:ind w:left="1980" w:hanging="220"/>
    </w:pPr>
    <w:rPr>
      <w:rFonts w:asciiTheme="minorHAnsi" w:hAnsiTheme="minorHAnsi"/>
      <w:sz w:val="18"/>
    </w:rPr>
  </w:style>
  <w:style w:type="paragraph" w:styleId="IndexHeading">
    <w:name w:val="index heading"/>
    <w:basedOn w:val="Normal"/>
    <w:next w:val="Index1"/>
    <w:uiPriority w:val="99"/>
    <w:unhideWhenUsed/>
    <w:rsid w:val="00F05BA4"/>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Theme="majorHAnsi" w:hAnsiTheme="majorHAnsi"/>
      <w:b/>
      <w:bCs/>
      <w:szCs w:val="22"/>
    </w:rPr>
  </w:style>
  <w:style w:type="paragraph" w:styleId="Title">
    <w:name w:val="Title"/>
    <w:basedOn w:val="Normal"/>
    <w:next w:val="Normal"/>
    <w:link w:val="TitleChar"/>
    <w:uiPriority w:val="10"/>
    <w:qFormat/>
    <w:rsid w:val="006B2564"/>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B2564"/>
    <w:rPr>
      <w:rFonts w:asciiTheme="majorHAnsi" w:eastAsiaTheme="majorEastAsia" w:hAnsiTheme="majorHAnsi" w:cstheme="majorBidi"/>
      <w:b w:val="0"/>
      <w:color w:val="17365D" w:themeColor="text2" w:themeShade="BF"/>
      <w:spacing w:val="5"/>
      <w:kern w:val="28"/>
      <w:sz w:val="3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b/>
        <w:color w:val="4F81BD" w:themeColor="accent1"/>
        <w:szCs w:val="18"/>
        <w:lang w:val="cs-CZ" w:eastAsia="en-US" w:bidi="ar-SA"/>
      </w:rPr>
    </w:rPrDefault>
    <w:pPrDefault>
      <w:pPr>
        <w:spacing w:line="320" w:lineRule="exact"/>
        <w:ind w:left="709" w:hanging="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5AE"/>
    <w:pPr>
      <w:ind w:left="0" w:firstLine="0"/>
    </w:pPr>
    <w:rPr>
      <w:b w:val="0"/>
      <w:color w:val="auto"/>
      <w:sz w:val="22"/>
    </w:rPr>
  </w:style>
  <w:style w:type="paragraph" w:styleId="Heading1">
    <w:name w:val="heading 1"/>
    <w:basedOn w:val="Nadpis1"/>
    <w:next w:val="Normal"/>
    <w:link w:val="Heading1Char"/>
    <w:uiPriority w:val="9"/>
    <w:qFormat/>
    <w:rsid w:val="00FD1152"/>
    <w:pPr>
      <w:outlineLvl w:val="0"/>
    </w:pPr>
    <w:rPr>
      <w:rFonts w:asciiTheme="minorHAnsi" w:hAnsiTheme="minorHAnsi"/>
      <w:sz w:val="22"/>
      <w:szCs w:val="22"/>
    </w:rPr>
  </w:style>
  <w:style w:type="paragraph" w:styleId="Heading2">
    <w:name w:val="heading 2"/>
    <w:basedOn w:val="Nadpis2"/>
    <w:next w:val="Normal"/>
    <w:link w:val="Heading2Char"/>
    <w:uiPriority w:val="9"/>
    <w:unhideWhenUsed/>
    <w:qFormat/>
    <w:rsid w:val="00FD1152"/>
    <w:pPr>
      <w:outlineLvl w:val="1"/>
    </w:pPr>
    <w:rPr>
      <w:rFonts w:asciiTheme="minorHAnsi" w:hAnsiTheme="minorHAnsi"/>
      <w:sz w:val="22"/>
      <w:szCs w:val="22"/>
    </w:rPr>
  </w:style>
  <w:style w:type="paragraph" w:styleId="Heading3">
    <w:name w:val="heading 3"/>
    <w:basedOn w:val="Nadpis3"/>
    <w:next w:val="Normal"/>
    <w:link w:val="Heading3Char"/>
    <w:uiPriority w:val="9"/>
    <w:unhideWhenUsed/>
    <w:qFormat/>
    <w:rsid w:val="00FD1152"/>
    <w:pPr>
      <w:outlineLvl w:val="2"/>
    </w:pPr>
    <w:rPr>
      <w:rFonts w:asciiTheme="minorHAnsi" w:hAnsiTheme="minorHAnsi"/>
      <w:sz w:val="22"/>
      <w:szCs w:val="22"/>
    </w:rPr>
  </w:style>
  <w:style w:type="paragraph" w:styleId="Heading4">
    <w:name w:val="heading 4"/>
    <w:basedOn w:val="Normal"/>
    <w:next w:val="Normal"/>
    <w:link w:val="Heading4Char"/>
    <w:uiPriority w:val="9"/>
    <w:unhideWhenUsed/>
    <w:qFormat/>
    <w:rsid w:val="00F409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152"/>
    <w:rPr>
      <w:rFonts w:asciiTheme="minorHAnsi" w:hAnsiTheme="minorHAnsi"/>
      <w:caps/>
      <w:color w:val="365F91" w:themeColor="accent1" w:themeShade="BF"/>
      <w:sz w:val="22"/>
      <w:szCs w:val="22"/>
      <w:u w:val="single"/>
    </w:rPr>
  </w:style>
  <w:style w:type="paragraph" w:styleId="ListParagraph">
    <w:name w:val="List Paragraph"/>
    <w:basedOn w:val="Normal"/>
    <w:uiPriority w:val="34"/>
    <w:qFormat/>
    <w:rsid w:val="00CF1A62"/>
    <w:pPr>
      <w:ind w:left="720"/>
      <w:contextualSpacing/>
    </w:pPr>
  </w:style>
  <w:style w:type="character" w:styleId="CommentReference">
    <w:name w:val="annotation reference"/>
    <w:basedOn w:val="DefaultParagraphFont"/>
    <w:uiPriority w:val="99"/>
    <w:semiHidden/>
    <w:unhideWhenUsed/>
    <w:rsid w:val="00BB159C"/>
    <w:rPr>
      <w:sz w:val="16"/>
      <w:szCs w:val="16"/>
    </w:rPr>
  </w:style>
  <w:style w:type="paragraph" w:styleId="CommentText">
    <w:name w:val="annotation text"/>
    <w:basedOn w:val="Normal"/>
    <w:link w:val="CommentTextChar"/>
    <w:uiPriority w:val="99"/>
    <w:semiHidden/>
    <w:unhideWhenUsed/>
    <w:rsid w:val="00BB159C"/>
    <w:pPr>
      <w:spacing w:line="240" w:lineRule="auto"/>
    </w:pPr>
    <w:rPr>
      <w:sz w:val="20"/>
      <w:szCs w:val="20"/>
    </w:rPr>
  </w:style>
  <w:style w:type="character" w:customStyle="1" w:styleId="CommentTextChar">
    <w:name w:val="Comment Text Char"/>
    <w:basedOn w:val="DefaultParagraphFont"/>
    <w:link w:val="CommentText"/>
    <w:uiPriority w:val="99"/>
    <w:semiHidden/>
    <w:rsid w:val="00BB159C"/>
    <w:rPr>
      <w:b w:val="0"/>
      <w:color w:val="auto"/>
      <w:szCs w:val="20"/>
    </w:rPr>
  </w:style>
  <w:style w:type="paragraph" w:styleId="CommentSubject">
    <w:name w:val="annotation subject"/>
    <w:basedOn w:val="CommentText"/>
    <w:next w:val="CommentText"/>
    <w:link w:val="CommentSubjectChar"/>
    <w:uiPriority w:val="99"/>
    <w:semiHidden/>
    <w:unhideWhenUsed/>
    <w:rsid w:val="00BB159C"/>
    <w:rPr>
      <w:b/>
      <w:bCs/>
    </w:rPr>
  </w:style>
  <w:style w:type="character" w:customStyle="1" w:styleId="CommentSubjectChar">
    <w:name w:val="Comment Subject Char"/>
    <w:basedOn w:val="CommentTextChar"/>
    <w:link w:val="CommentSubject"/>
    <w:uiPriority w:val="99"/>
    <w:semiHidden/>
    <w:rsid w:val="00BB159C"/>
    <w:rPr>
      <w:b/>
      <w:bCs/>
      <w:color w:val="auto"/>
      <w:szCs w:val="20"/>
    </w:rPr>
  </w:style>
  <w:style w:type="paragraph" w:styleId="BalloonText">
    <w:name w:val="Balloon Text"/>
    <w:basedOn w:val="Normal"/>
    <w:link w:val="BalloonTextChar"/>
    <w:uiPriority w:val="99"/>
    <w:semiHidden/>
    <w:unhideWhenUsed/>
    <w:rsid w:val="00BB15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59C"/>
    <w:rPr>
      <w:rFonts w:ascii="Tahoma" w:hAnsi="Tahoma" w:cs="Tahoma"/>
      <w:b w:val="0"/>
      <w:color w:val="auto"/>
      <w:sz w:val="16"/>
      <w:szCs w:val="16"/>
    </w:rPr>
  </w:style>
  <w:style w:type="table" w:styleId="TableGrid">
    <w:name w:val="Table Grid"/>
    <w:basedOn w:val="TableNormal"/>
    <w:uiPriority w:val="59"/>
    <w:rsid w:val="008E750E"/>
    <w:pPr>
      <w:spacing w:line="240" w:lineRule="auto"/>
      <w:jc w:val="center"/>
    </w:pPr>
    <w:rPr>
      <w:rFonts w:ascii="Calibri" w:hAnsi="Calibri"/>
      <w:color w:val="365F91" w:themeColor="accent1" w:themeShade="BF"/>
      <w:sz w:val="22"/>
    </w:rPr>
    <w:tblPr>
      <w:tblBorders>
        <w:top w:val="single" w:sz="4" w:space="0" w:color="auto"/>
        <w:bottom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42B5"/>
    <w:pPr>
      <w:tabs>
        <w:tab w:val="center" w:pos="4536"/>
        <w:tab w:val="right" w:pos="9072"/>
      </w:tabs>
      <w:spacing w:line="240" w:lineRule="auto"/>
    </w:pPr>
  </w:style>
  <w:style w:type="character" w:customStyle="1" w:styleId="HeaderChar">
    <w:name w:val="Header Char"/>
    <w:basedOn w:val="DefaultParagraphFont"/>
    <w:link w:val="Header"/>
    <w:uiPriority w:val="99"/>
    <w:rsid w:val="00DF42B5"/>
    <w:rPr>
      <w:b w:val="0"/>
      <w:color w:val="auto"/>
      <w:sz w:val="22"/>
    </w:rPr>
  </w:style>
  <w:style w:type="paragraph" w:styleId="Footer">
    <w:name w:val="footer"/>
    <w:basedOn w:val="Normal"/>
    <w:link w:val="FooterChar"/>
    <w:uiPriority w:val="99"/>
    <w:unhideWhenUsed/>
    <w:rsid w:val="00DF42B5"/>
    <w:pPr>
      <w:tabs>
        <w:tab w:val="center" w:pos="4536"/>
        <w:tab w:val="right" w:pos="9072"/>
      </w:tabs>
      <w:spacing w:line="240" w:lineRule="auto"/>
    </w:pPr>
  </w:style>
  <w:style w:type="character" w:customStyle="1" w:styleId="FooterChar">
    <w:name w:val="Footer Char"/>
    <w:basedOn w:val="DefaultParagraphFont"/>
    <w:link w:val="Footer"/>
    <w:uiPriority w:val="99"/>
    <w:rsid w:val="00DF42B5"/>
    <w:rPr>
      <w:b w:val="0"/>
      <w:color w:val="auto"/>
      <w:sz w:val="22"/>
    </w:rPr>
  </w:style>
  <w:style w:type="character" w:customStyle="1" w:styleId="Heading2Char">
    <w:name w:val="Heading 2 Char"/>
    <w:basedOn w:val="DefaultParagraphFont"/>
    <w:link w:val="Heading2"/>
    <w:uiPriority w:val="9"/>
    <w:rsid w:val="00FD1152"/>
    <w:rPr>
      <w:rFonts w:asciiTheme="minorHAnsi" w:hAnsiTheme="minorHAnsi"/>
      <w:caps/>
      <w:color w:val="365F91" w:themeColor="accent1" w:themeShade="BF"/>
      <w:sz w:val="22"/>
      <w:szCs w:val="22"/>
      <w:u w:val="single"/>
    </w:rPr>
  </w:style>
  <w:style w:type="paragraph" w:customStyle="1" w:styleId="Default">
    <w:name w:val="Default"/>
    <w:rsid w:val="00706F99"/>
    <w:pPr>
      <w:autoSpaceDE w:val="0"/>
      <w:autoSpaceDN w:val="0"/>
      <w:adjustRightInd w:val="0"/>
      <w:spacing w:line="240" w:lineRule="auto"/>
      <w:ind w:left="0" w:firstLine="0"/>
    </w:pPr>
    <w:rPr>
      <w:rFonts w:ascii="Arial" w:hAnsi="Arial" w:cs="Arial"/>
      <w:color w:val="000000"/>
      <w:sz w:val="24"/>
      <w:szCs w:val="24"/>
    </w:rPr>
  </w:style>
  <w:style w:type="character" w:styleId="Hyperlink">
    <w:name w:val="Hyperlink"/>
    <w:basedOn w:val="DefaultParagraphFont"/>
    <w:uiPriority w:val="99"/>
    <w:unhideWhenUsed/>
    <w:rsid w:val="00B34439"/>
    <w:rPr>
      <w:color w:val="0000FF" w:themeColor="hyperlink"/>
      <w:u w:val="single"/>
    </w:rPr>
  </w:style>
  <w:style w:type="character" w:styleId="FollowedHyperlink">
    <w:name w:val="FollowedHyperlink"/>
    <w:basedOn w:val="DefaultParagraphFont"/>
    <w:uiPriority w:val="99"/>
    <w:semiHidden/>
    <w:unhideWhenUsed/>
    <w:rsid w:val="00B34439"/>
    <w:rPr>
      <w:color w:val="800080" w:themeColor="followedHyperlink"/>
      <w:u w:val="single"/>
    </w:rPr>
  </w:style>
  <w:style w:type="table" w:styleId="MediumList2-Accent1">
    <w:name w:val="Medium List 2 Accent 1"/>
    <w:basedOn w:val="TableNormal"/>
    <w:uiPriority w:val="66"/>
    <w:rsid w:val="00022706"/>
    <w:pPr>
      <w:spacing w:line="240" w:lineRule="auto"/>
      <w:ind w:left="0" w:firstLine="0"/>
    </w:pPr>
    <w:rPr>
      <w:rFonts w:asciiTheme="majorHAnsi" w:eastAsiaTheme="majorEastAsia" w:hAnsiTheme="majorHAnsi" w:cstheme="majorBidi"/>
      <w:b w:val="0"/>
      <w:color w:val="000000" w:themeColor="text1"/>
      <w:sz w:val="22"/>
      <w:szCs w:val="22"/>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3Char">
    <w:name w:val="Heading 3 Char"/>
    <w:basedOn w:val="DefaultParagraphFont"/>
    <w:link w:val="Heading3"/>
    <w:uiPriority w:val="9"/>
    <w:rsid w:val="00FD1152"/>
    <w:rPr>
      <w:rFonts w:asciiTheme="minorHAnsi" w:hAnsiTheme="minorHAnsi"/>
      <w:caps/>
      <w:color w:val="365F91" w:themeColor="accent1" w:themeShade="BF"/>
      <w:sz w:val="22"/>
      <w:szCs w:val="22"/>
      <w:u w:val="single"/>
    </w:rPr>
  </w:style>
  <w:style w:type="character" w:customStyle="1" w:styleId="Heading4Char">
    <w:name w:val="Heading 4 Char"/>
    <w:basedOn w:val="DefaultParagraphFont"/>
    <w:link w:val="Heading4"/>
    <w:uiPriority w:val="9"/>
    <w:rsid w:val="00F4099D"/>
    <w:rPr>
      <w:rFonts w:asciiTheme="majorHAnsi" w:eastAsiaTheme="majorEastAsia" w:hAnsiTheme="majorHAnsi" w:cstheme="majorBidi"/>
      <w:bCs/>
      <w:i/>
      <w:iCs/>
      <w:sz w:val="22"/>
    </w:rPr>
  </w:style>
  <w:style w:type="paragraph" w:styleId="TOC1">
    <w:name w:val="toc 1"/>
    <w:basedOn w:val="Normal"/>
    <w:next w:val="Normal"/>
    <w:autoRedefine/>
    <w:uiPriority w:val="39"/>
    <w:unhideWhenUsed/>
    <w:rsid w:val="00F4099D"/>
    <w:pPr>
      <w:spacing w:before="360" w:after="360"/>
    </w:pPr>
    <w:rPr>
      <w:rFonts w:asciiTheme="minorHAnsi" w:hAnsiTheme="minorHAnsi"/>
      <w:b/>
      <w:bCs/>
      <w:caps/>
      <w:szCs w:val="22"/>
      <w:u w:val="single"/>
    </w:rPr>
  </w:style>
  <w:style w:type="paragraph" w:styleId="TOC2">
    <w:name w:val="toc 2"/>
    <w:basedOn w:val="Normal"/>
    <w:next w:val="Normal"/>
    <w:autoRedefine/>
    <w:uiPriority w:val="39"/>
    <w:unhideWhenUsed/>
    <w:rsid w:val="00F4099D"/>
    <w:rPr>
      <w:rFonts w:asciiTheme="minorHAnsi" w:hAnsiTheme="minorHAnsi"/>
      <w:b/>
      <w:bCs/>
      <w:smallCaps/>
      <w:szCs w:val="22"/>
    </w:rPr>
  </w:style>
  <w:style w:type="paragraph" w:styleId="TOC3">
    <w:name w:val="toc 3"/>
    <w:basedOn w:val="Normal"/>
    <w:next w:val="Normal"/>
    <w:autoRedefine/>
    <w:uiPriority w:val="39"/>
    <w:unhideWhenUsed/>
    <w:rsid w:val="00F4099D"/>
    <w:rPr>
      <w:rFonts w:asciiTheme="minorHAnsi" w:hAnsiTheme="minorHAnsi"/>
      <w:smallCaps/>
      <w:szCs w:val="22"/>
    </w:rPr>
  </w:style>
  <w:style w:type="paragraph" w:styleId="TOC4">
    <w:name w:val="toc 4"/>
    <w:basedOn w:val="Normal"/>
    <w:next w:val="Normal"/>
    <w:autoRedefine/>
    <w:uiPriority w:val="39"/>
    <w:unhideWhenUsed/>
    <w:rsid w:val="00F4099D"/>
    <w:rPr>
      <w:rFonts w:asciiTheme="minorHAnsi" w:hAnsiTheme="minorHAnsi"/>
      <w:szCs w:val="22"/>
    </w:rPr>
  </w:style>
  <w:style w:type="paragraph" w:styleId="TOC5">
    <w:name w:val="toc 5"/>
    <w:basedOn w:val="Normal"/>
    <w:next w:val="Normal"/>
    <w:autoRedefine/>
    <w:uiPriority w:val="39"/>
    <w:unhideWhenUsed/>
    <w:rsid w:val="00F4099D"/>
    <w:rPr>
      <w:rFonts w:asciiTheme="minorHAnsi" w:hAnsiTheme="minorHAnsi"/>
      <w:szCs w:val="22"/>
    </w:rPr>
  </w:style>
  <w:style w:type="paragraph" w:styleId="TOC6">
    <w:name w:val="toc 6"/>
    <w:basedOn w:val="Normal"/>
    <w:next w:val="Normal"/>
    <w:autoRedefine/>
    <w:uiPriority w:val="39"/>
    <w:unhideWhenUsed/>
    <w:rsid w:val="00F4099D"/>
    <w:rPr>
      <w:rFonts w:asciiTheme="minorHAnsi" w:hAnsiTheme="minorHAnsi"/>
      <w:szCs w:val="22"/>
    </w:rPr>
  </w:style>
  <w:style w:type="paragraph" w:styleId="TOC7">
    <w:name w:val="toc 7"/>
    <w:basedOn w:val="Normal"/>
    <w:next w:val="Normal"/>
    <w:autoRedefine/>
    <w:uiPriority w:val="39"/>
    <w:unhideWhenUsed/>
    <w:rsid w:val="00F4099D"/>
    <w:rPr>
      <w:rFonts w:asciiTheme="minorHAnsi" w:hAnsiTheme="minorHAnsi"/>
      <w:szCs w:val="22"/>
    </w:rPr>
  </w:style>
  <w:style w:type="paragraph" w:styleId="TOC8">
    <w:name w:val="toc 8"/>
    <w:basedOn w:val="Normal"/>
    <w:next w:val="Normal"/>
    <w:autoRedefine/>
    <w:uiPriority w:val="39"/>
    <w:unhideWhenUsed/>
    <w:rsid w:val="00F4099D"/>
    <w:rPr>
      <w:rFonts w:asciiTheme="minorHAnsi" w:hAnsiTheme="minorHAnsi"/>
      <w:szCs w:val="22"/>
    </w:rPr>
  </w:style>
  <w:style w:type="paragraph" w:styleId="TOC9">
    <w:name w:val="toc 9"/>
    <w:basedOn w:val="Normal"/>
    <w:next w:val="Normal"/>
    <w:autoRedefine/>
    <w:uiPriority w:val="39"/>
    <w:unhideWhenUsed/>
    <w:rsid w:val="00F4099D"/>
    <w:rPr>
      <w:rFonts w:asciiTheme="minorHAnsi" w:hAnsiTheme="minorHAnsi"/>
      <w:szCs w:val="22"/>
    </w:rPr>
  </w:style>
  <w:style w:type="paragraph" w:customStyle="1" w:styleId="Nadpis1">
    <w:name w:val="Nadpis 1"/>
    <w:basedOn w:val="Normal"/>
    <w:rsid w:val="009F094E"/>
    <w:pPr>
      <w:numPr>
        <w:numId w:val="12"/>
      </w:numPr>
    </w:pPr>
    <w:rPr>
      <w:rFonts w:ascii="Calibri" w:hAnsi="Calibri"/>
      <w:b/>
      <w:caps/>
      <w:color w:val="365F91" w:themeColor="accent1" w:themeShade="BF"/>
      <w:sz w:val="24"/>
      <w:u w:val="single"/>
    </w:rPr>
  </w:style>
  <w:style w:type="paragraph" w:customStyle="1" w:styleId="Nadpis2">
    <w:name w:val="Nadpis 2"/>
    <w:basedOn w:val="Nadpis1"/>
    <w:rsid w:val="00447B0E"/>
    <w:pPr>
      <w:numPr>
        <w:ilvl w:val="1"/>
      </w:numPr>
    </w:pPr>
  </w:style>
  <w:style w:type="paragraph" w:customStyle="1" w:styleId="Nadpis3">
    <w:name w:val="Nadpis 3"/>
    <w:basedOn w:val="Nadpis1"/>
    <w:rsid w:val="00447B0E"/>
    <w:pPr>
      <w:numPr>
        <w:ilvl w:val="2"/>
      </w:numPr>
    </w:pPr>
  </w:style>
  <w:style w:type="paragraph" w:customStyle="1" w:styleId="Nadpis4">
    <w:name w:val="Nadpis 4"/>
    <w:basedOn w:val="Normal"/>
    <w:rsid w:val="0089058C"/>
  </w:style>
  <w:style w:type="paragraph" w:customStyle="1" w:styleId="Nadpis5">
    <w:name w:val="Nadpis 5"/>
    <w:basedOn w:val="Normal"/>
    <w:rsid w:val="0089058C"/>
  </w:style>
  <w:style w:type="paragraph" w:customStyle="1" w:styleId="Nadpis6">
    <w:name w:val="Nadpis 6"/>
    <w:basedOn w:val="Normal"/>
    <w:rsid w:val="0089058C"/>
  </w:style>
  <w:style w:type="paragraph" w:customStyle="1" w:styleId="Nadpis7">
    <w:name w:val="Nadpis 7"/>
    <w:basedOn w:val="Normal"/>
    <w:rsid w:val="0089058C"/>
  </w:style>
  <w:style w:type="paragraph" w:customStyle="1" w:styleId="Nadpis8">
    <w:name w:val="Nadpis 8"/>
    <w:basedOn w:val="Normal"/>
    <w:rsid w:val="0089058C"/>
  </w:style>
  <w:style w:type="paragraph" w:customStyle="1" w:styleId="Nadpis9">
    <w:name w:val="Nadpis 9"/>
    <w:basedOn w:val="Normal"/>
    <w:rsid w:val="0089058C"/>
  </w:style>
  <w:style w:type="table" w:customStyle="1" w:styleId="Style1">
    <w:name w:val="Style1"/>
    <w:basedOn w:val="TableNormal"/>
    <w:uiPriority w:val="99"/>
    <w:rsid w:val="003440E6"/>
    <w:pPr>
      <w:spacing w:line="240" w:lineRule="auto"/>
      <w:ind w:left="0" w:firstLine="0"/>
    </w:pPr>
    <w:rPr>
      <w:rFonts w:ascii="Calibri" w:hAnsi="Calibri"/>
      <w:b w:val="0"/>
      <w:color w:val="808080" w:themeColor="background1" w:themeShade="80"/>
      <w:sz w:val="22"/>
    </w:rPr>
    <w:tblPr>
      <w:tblBorders>
        <w:insideH w:val="dashSmallGap" w:sz="4" w:space="0" w:color="auto"/>
      </w:tblBorders>
    </w:tblPr>
  </w:style>
  <w:style w:type="paragraph" w:styleId="Caption">
    <w:name w:val="caption"/>
    <w:basedOn w:val="Normal"/>
    <w:next w:val="Normal"/>
    <w:uiPriority w:val="35"/>
    <w:unhideWhenUsed/>
    <w:qFormat/>
    <w:rsid w:val="009F4053"/>
    <w:pPr>
      <w:spacing w:after="200" w:line="240" w:lineRule="auto"/>
    </w:pPr>
    <w:rPr>
      <w:rFonts w:ascii="Calibri" w:hAnsi="Calibri"/>
      <w:b/>
      <w:bCs/>
      <w:color w:val="365F91" w:themeColor="accent1" w:themeShade="BF"/>
    </w:rPr>
  </w:style>
  <w:style w:type="character" w:styleId="SubtleReference">
    <w:name w:val="Subtle Reference"/>
    <w:basedOn w:val="DefaultParagraphFont"/>
    <w:uiPriority w:val="31"/>
    <w:qFormat/>
    <w:rsid w:val="009F4053"/>
    <w:rPr>
      <w:rFonts w:ascii="Calibri" w:hAnsi="Calibri"/>
      <w:i/>
      <w:caps w:val="0"/>
      <w:smallCaps w:val="0"/>
      <w:color w:val="365F91" w:themeColor="accent1" w:themeShade="BF"/>
      <w:sz w:val="22"/>
      <w:u w:val="single"/>
    </w:rPr>
  </w:style>
  <w:style w:type="paragraph" w:styleId="TOCHeading">
    <w:name w:val="TOC Heading"/>
    <w:basedOn w:val="Heading1"/>
    <w:next w:val="Normal"/>
    <w:uiPriority w:val="39"/>
    <w:unhideWhenUsed/>
    <w:qFormat/>
    <w:rsid w:val="00F05BA4"/>
    <w:pPr>
      <w:numPr>
        <w:numId w:val="0"/>
      </w:numPr>
      <w:spacing w:line="276" w:lineRule="auto"/>
      <w:outlineLvl w:val="9"/>
    </w:pPr>
    <w:rPr>
      <w:rFonts w:asciiTheme="majorHAnsi" w:hAnsiTheme="majorHAnsi"/>
      <w:caps w:val="0"/>
      <w:sz w:val="28"/>
      <w:u w:val="none"/>
      <w:lang w:eastAsia="cs-CZ"/>
    </w:rPr>
  </w:style>
  <w:style w:type="paragraph" w:styleId="Index1">
    <w:name w:val="index 1"/>
    <w:basedOn w:val="Normal"/>
    <w:next w:val="Normal"/>
    <w:autoRedefine/>
    <w:uiPriority w:val="99"/>
    <w:unhideWhenUsed/>
    <w:rsid w:val="00F05BA4"/>
    <w:pPr>
      <w:ind w:left="220" w:hanging="220"/>
    </w:pPr>
    <w:rPr>
      <w:rFonts w:asciiTheme="minorHAnsi" w:hAnsiTheme="minorHAnsi"/>
      <w:sz w:val="18"/>
    </w:rPr>
  </w:style>
  <w:style w:type="paragraph" w:styleId="Index2">
    <w:name w:val="index 2"/>
    <w:basedOn w:val="Normal"/>
    <w:next w:val="Normal"/>
    <w:autoRedefine/>
    <w:uiPriority w:val="99"/>
    <w:unhideWhenUsed/>
    <w:rsid w:val="00F05BA4"/>
    <w:pPr>
      <w:ind w:left="440" w:hanging="220"/>
    </w:pPr>
    <w:rPr>
      <w:rFonts w:asciiTheme="minorHAnsi" w:hAnsiTheme="minorHAnsi"/>
      <w:sz w:val="18"/>
    </w:rPr>
  </w:style>
  <w:style w:type="paragraph" w:styleId="Index3">
    <w:name w:val="index 3"/>
    <w:basedOn w:val="Normal"/>
    <w:next w:val="Normal"/>
    <w:autoRedefine/>
    <w:uiPriority w:val="99"/>
    <w:unhideWhenUsed/>
    <w:rsid w:val="00F05BA4"/>
    <w:pPr>
      <w:ind w:left="660" w:hanging="220"/>
    </w:pPr>
    <w:rPr>
      <w:rFonts w:asciiTheme="minorHAnsi" w:hAnsiTheme="minorHAnsi"/>
      <w:sz w:val="18"/>
    </w:rPr>
  </w:style>
  <w:style w:type="paragraph" w:styleId="Index4">
    <w:name w:val="index 4"/>
    <w:basedOn w:val="Normal"/>
    <w:next w:val="Normal"/>
    <w:autoRedefine/>
    <w:uiPriority w:val="99"/>
    <w:unhideWhenUsed/>
    <w:rsid w:val="00F05BA4"/>
    <w:pPr>
      <w:ind w:left="880" w:hanging="220"/>
    </w:pPr>
    <w:rPr>
      <w:rFonts w:asciiTheme="minorHAnsi" w:hAnsiTheme="minorHAnsi"/>
      <w:sz w:val="18"/>
    </w:rPr>
  </w:style>
  <w:style w:type="paragraph" w:styleId="Index5">
    <w:name w:val="index 5"/>
    <w:basedOn w:val="Normal"/>
    <w:next w:val="Normal"/>
    <w:autoRedefine/>
    <w:uiPriority w:val="99"/>
    <w:unhideWhenUsed/>
    <w:rsid w:val="00F05BA4"/>
    <w:pPr>
      <w:ind w:left="1100" w:hanging="220"/>
    </w:pPr>
    <w:rPr>
      <w:rFonts w:asciiTheme="minorHAnsi" w:hAnsiTheme="minorHAnsi"/>
      <w:sz w:val="18"/>
    </w:rPr>
  </w:style>
  <w:style w:type="paragraph" w:styleId="Index6">
    <w:name w:val="index 6"/>
    <w:basedOn w:val="Normal"/>
    <w:next w:val="Normal"/>
    <w:autoRedefine/>
    <w:uiPriority w:val="99"/>
    <w:unhideWhenUsed/>
    <w:rsid w:val="00F05BA4"/>
    <w:pPr>
      <w:ind w:left="1320" w:hanging="220"/>
    </w:pPr>
    <w:rPr>
      <w:rFonts w:asciiTheme="minorHAnsi" w:hAnsiTheme="minorHAnsi"/>
      <w:sz w:val="18"/>
    </w:rPr>
  </w:style>
  <w:style w:type="paragraph" w:styleId="Index7">
    <w:name w:val="index 7"/>
    <w:basedOn w:val="Normal"/>
    <w:next w:val="Normal"/>
    <w:autoRedefine/>
    <w:uiPriority w:val="99"/>
    <w:unhideWhenUsed/>
    <w:rsid w:val="00F05BA4"/>
    <w:pPr>
      <w:ind w:left="1540" w:hanging="220"/>
    </w:pPr>
    <w:rPr>
      <w:rFonts w:asciiTheme="minorHAnsi" w:hAnsiTheme="minorHAnsi"/>
      <w:sz w:val="18"/>
    </w:rPr>
  </w:style>
  <w:style w:type="paragraph" w:styleId="Index8">
    <w:name w:val="index 8"/>
    <w:basedOn w:val="Normal"/>
    <w:next w:val="Normal"/>
    <w:autoRedefine/>
    <w:uiPriority w:val="99"/>
    <w:unhideWhenUsed/>
    <w:rsid w:val="00F05BA4"/>
    <w:pPr>
      <w:ind w:left="1760" w:hanging="220"/>
    </w:pPr>
    <w:rPr>
      <w:rFonts w:asciiTheme="minorHAnsi" w:hAnsiTheme="minorHAnsi"/>
      <w:sz w:val="18"/>
    </w:rPr>
  </w:style>
  <w:style w:type="paragraph" w:styleId="Index9">
    <w:name w:val="index 9"/>
    <w:basedOn w:val="Normal"/>
    <w:next w:val="Normal"/>
    <w:autoRedefine/>
    <w:uiPriority w:val="99"/>
    <w:unhideWhenUsed/>
    <w:rsid w:val="00F05BA4"/>
    <w:pPr>
      <w:ind w:left="1980" w:hanging="220"/>
    </w:pPr>
    <w:rPr>
      <w:rFonts w:asciiTheme="minorHAnsi" w:hAnsiTheme="minorHAnsi"/>
      <w:sz w:val="18"/>
    </w:rPr>
  </w:style>
  <w:style w:type="paragraph" w:styleId="IndexHeading">
    <w:name w:val="index heading"/>
    <w:basedOn w:val="Normal"/>
    <w:next w:val="Index1"/>
    <w:uiPriority w:val="99"/>
    <w:unhideWhenUsed/>
    <w:rsid w:val="00F05BA4"/>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Theme="majorHAnsi" w:hAnsiTheme="majorHAnsi"/>
      <w:b/>
      <w:bCs/>
      <w:szCs w:val="22"/>
    </w:rPr>
  </w:style>
  <w:style w:type="paragraph" w:styleId="Title">
    <w:name w:val="Title"/>
    <w:basedOn w:val="Normal"/>
    <w:next w:val="Normal"/>
    <w:link w:val="TitleChar"/>
    <w:uiPriority w:val="10"/>
    <w:qFormat/>
    <w:rsid w:val="006B2564"/>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B2564"/>
    <w:rPr>
      <w:rFonts w:asciiTheme="majorHAnsi" w:eastAsiaTheme="majorEastAsia" w:hAnsiTheme="majorHAnsi" w:cstheme="majorBidi"/>
      <w:b w:val="0"/>
      <w:color w:val="17365D" w:themeColor="text2" w:themeShade="BF"/>
      <w:spacing w:val="5"/>
      <w:kern w:val="28"/>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181294">
      <w:bodyDiv w:val="1"/>
      <w:marLeft w:val="0"/>
      <w:marRight w:val="0"/>
      <w:marTop w:val="0"/>
      <w:marBottom w:val="0"/>
      <w:divBdr>
        <w:top w:val="none" w:sz="0" w:space="0" w:color="auto"/>
        <w:left w:val="none" w:sz="0" w:space="0" w:color="auto"/>
        <w:bottom w:val="none" w:sz="0" w:space="0" w:color="auto"/>
        <w:right w:val="none" w:sz="0" w:space="0" w:color="auto"/>
      </w:divBdr>
    </w:div>
    <w:div w:id="148669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cb.europa.eu/ecb/legal/pdf/celex_32016r0867_en_txt.pdf"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yperlink" Target="http://www.cnb.cz/miranda2/export/sites/www.cnb.cz/cs/statistika/anacredit/vykazovani_do_anacredit/Podklady/AnaCredit_Reporting_of_settled_instruments_v1.0.pdf" TargetMode="External"/><Relationship Id="rId17" Type="http://schemas.openxmlformats.org/officeDocument/2006/relationships/hyperlink" Target="http://www.cnb.cz/cs/statistika/anacredit/vykazovani_do_anacredit/Podklady/RIAD_Counterparty_Reference_Data_v2.0.xlsx" TargetMode="External"/><Relationship Id="rId2" Type="http://schemas.openxmlformats.org/officeDocument/2006/relationships/numbering" Target="numbering.xml"/><Relationship Id="rId16" Type="http://schemas.openxmlformats.org/officeDocument/2006/relationships/hyperlink" Target="http://www.cnb.cz/cs/statistika/anacredit/vykazovani_do_anacredit/Podklady/AnaCredit_Validation_Checks_v3.1.xlsx"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b.cz/cs/statistika/anacredit/vykazovani_do_anacredit/Podklady/AnaCredit_Reporting_of_settled_instruments_v1.0.doc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ecb.europa.eu/pub/pdf/other/AnaCredit_validation_checks_201811.en.pdf?0e92d51a85f3e744df14ce63fa4ce69f" TargetMode="External"/><Relationship Id="rId23" Type="http://schemas.openxmlformats.org/officeDocument/2006/relationships/fontTable" Target="fontTable.xml"/><Relationship Id="rId10" Type="http://schemas.openxmlformats.org/officeDocument/2006/relationships/hyperlink" Target="http://www.cnb.cz/cs/statistika/anacredit/vykazovani_do_anacredit/Podklady/AnaCredit_Specific_Requirements_Credit_Data_v4.0.xlsx"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cb.europa.eu/pub/pdf/other/AnaCredit_Manual_Part_II_Datasets_and_data_attributes.en.pdf" TargetMode="External"/><Relationship Id="rId22"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6A61-2CB9-49B4-B241-0FCE5736C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40</Pages>
  <Words>11278</Words>
  <Characters>66541</Characters>
  <Application>Microsoft Office Word</Application>
  <DocSecurity>0</DocSecurity>
  <Lines>554</Lines>
  <Paragraphs>155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Česká národní banka</Company>
  <LinksUpToDate>false</LinksUpToDate>
  <CharactersWithSpaces>77664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Greiff Jiří</dc:creator>
  <cp:lastModifiedBy>Lukášová Eva</cp:lastModifiedBy>
  <cp:revision>10</cp:revision>
  <cp:lastPrinted>2018-11-01T15:05:00Z</cp:lastPrinted>
  <dcterms:created xsi:type="dcterms:W3CDTF">2019-02-05T13:25:00Z</dcterms:created>
  <dcterms:modified xsi:type="dcterms:W3CDTF">2019-02-11T08:28:00Z</dcterms:modified>
</cp:coreProperties>
</file>